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C9EE41" w14:textId="0B69FAE3" w:rsidR="00F110CD" w:rsidRPr="00C84F38" w:rsidRDefault="00F110CD" w:rsidP="00F110CD">
      <w:pPr>
        <w:pStyle w:val="Header"/>
        <w:tabs>
          <w:tab w:val="right" w:pos="9639"/>
        </w:tabs>
        <w:rPr>
          <w:bCs/>
          <w:noProof w:val="0"/>
          <w:sz w:val="24"/>
          <w:szCs w:val="24"/>
        </w:rPr>
      </w:pPr>
      <w:bookmarkStart w:id="0" w:name="_GoBack"/>
      <w:bookmarkEnd w:id="0"/>
      <w:r w:rsidRPr="00C84F38">
        <w:rPr>
          <w:bCs/>
          <w:noProof w:val="0"/>
          <w:sz w:val="24"/>
          <w:szCs w:val="24"/>
        </w:rPr>
        <w:t>3GPP TSG RA</w:t>
      </w:r>
      <w:r w:rsidR="00C77DB3">
        <w:rPr>
          <w:bCs/>
          <w:noProof w:val="0"/>
          <w:sz w:val="24"/>
          <w:szCs w:val="24"/>
        </w:rPr>
        <w:t>N WG1</w:t>
      </w:r>
      <w:r w:rsidR="00BA1872">
        <w:rPr>
          <w:bCs/>
          <w:noProof w:val="0"/>
          <w:sz w:val="24"/>
          <w:szCs w:val="24"/>
        </w:rPr>
        <w:t xml:space="preserve"> Meeting </w:t>
      </w:r>
      <w:r w:rsidR="00C77DB3">
        <w:rPr>
          <w:bCs/>
          <w:noProof w:val="0"/>
          <w:sz w:val="24"/>
          <w:szCs w:val="24"/>
        </w:rPr>
        <w:t>#9</w:t>
      </w:r>
      <w:r w:rsidR="00072A5B">
        <w:rPr>
          <w:bCs/>
          <w:noProof w:val="0"/>
          <w:sz w:val="24"/>
          <w:szCs w:val="24"/>
        </w:rPr>
        <w:t>8</w:t>
      </w:r>
      <w:r w:rsidR="00142C84">
        <w:rPr>
          <w:bCs/>
          <w:noProof w:val="0"/>
          <w:sz w:val="24"/>
          <w:szCs w:val="24"/>
        </w:rPr>
        <w:t>bis</w:t>
      </w:r>
      <w:r w:rsidR="001348FE">
        <w:rPr>
          <w:bCs/>
          <w:noProof w:val="0"/>
          <w:sz w:val="24"/>
          <w:szCs w:val="24"/>
        </w:rPr>
        <w:tab/>
      </w:r>
      <w:r w:rsidR="006210C8" w:rsidRPr="006210C8">
        <w:rPr>
          <w:bCs/>
          <w:noProof w:val="0"/>
          <w:sz w:val="24"/>
          <w:szCs w:val="24"/>
        </w:rPr>
        <w:t>R1-19</w:t>
      </w:r>
      <w:r w:rsidR="00BB03FF">
        <w:rPr>
          <w:bCs/>
          <w:noProof w:val="0"/>
          <w:sz w:val="24"/>
          <w:szCs w:val="24"/>
        </w:rPr>
        <w:t>11204</w:t>
      </w:r>
    </w:p>
    <w:p w14:paraId="68C5EAAF" w14:textId="6BD27CCB" w:rsidR="00850D96" w:rsidRPr="008E6434" w:rsidRDefault="00142C84" w:rsidP="00CA26CE">
      <w:pPr>
        <w:pStyle w:val="Header"/>
        <w:rPr>
          <w:bCs/>
          <w:noProof w:val="0"/>
          <w:sz w:val="24"/>
          <w:szCs w:val="24"/>
        </w:rPr>
      </w:pPr>
      <w:r>
        <w:rPr>
          <w:bCs/>
          <w:noProof w:val="0"/>
          <w:sz w:val="24"/>
          <w:szCs w:val="24"/>
        </w:rPr>
        <w:t>Chongqing, P.R. China</w:t>
      </w:r>
      <w:r w:rsidR="00072A5B">
        <w:rPr>
          <w:bCs/>
          <w:noProof w:val="0"/>
          <w:sz w:val="24"/>
          <w:szCs w:val="24"/>
        </w:rPr>
        <w:t xml:space="preserve">, </w:t>
      </w:r>
      <w:r>
        <w:rPr>
          <w:bCs/>
          <w:noProof w:val="0"/>
          <w:sz w:val="24"/>
          <w:szCs w:val="24"/>
        </w:rPr>
        <w:t>October</w:t>
      </w:r>
      <w:r w:rsidR="00E4038A">
        <w:rPr>
          <w:bCs/>
          <w:noProof w:val="0"/>
          <w:sz w:val="24"/>
          <w:szCs w:val="24"/>
        </w:rPr>
        <w:t xml:space="preserve"> </w:t>
      </w:r>
      <w:r>
        <w:rPr>
          <w:bCs/>
          <w:noProof w:val="0"/>
          <w:sz w:val="24"/>
          <w:szCs w:val="24"/>
        </w:rPr>
        <w:t>14</w:t>
      </w:r>
      <w:r w:rsidR="00E4038A" w:rsidRPr="00E4038A">
        <w:rPr>
          <w:bCs/>
          <w:noProof w:val="0"/>
          <w:sz w:val="24"/>
          <w:szCs w:val="24"/>
          <w:vertAlign w:val="superscript"/>
        </w:rPr>
        <w:t>th</w:t>
      </w:r>
      <w:r w:rsidR="00E4038A">
        <w:rPr>
          <w:bCs/>
          <w:noProof w:val="0"/>
          <w:sz w:val="24"/>
          <w:szCs w:val="24"/>
        </w:rPr>
        <w:t xml:space="preserve"> – </w:t>
      </w:r>
      <w:r>
        <w:rPr>
          <w:bCs/>
          <w:noProof w:val="0"/>
          <w:sz w:val="24"/>
          <w:szCs w:val="24"/>
        </w:rPr>
        <w:t>20</w:t>
      </w:r>
      <w:r w:rsidR="00E4038A" w:rsidRPr="00E4038A">
        <w:rPr>
          <w:bCs/>
          <w:noProof w:val="0"/>
          <w:sz w:val="24"/>
          <w:szCs w:val="24"/>
          <w:vertAlign w:val="superscript"/>
        </w:rPr>
        <w:t>th</w:t>
      </w:r>
      <w:r w:rsidR="00E4038A">
        <w:rPr>
          <w:bCs/>
          <w:noProof w:val="0"/>
          <w:sz w:val="24"/>
          <w:szCs w:val="24"/>
        </w:rPr>
        <w:t xml:space="preserve"> </w:t>
      </w:r>
      <w:r w:rsidR="008E6434">
        <w:rPr>
          <w:bCs/>
          <w:noProof w:val="0"/>
          <w:sz w:val="24"/>
          <w:lang w:val="en-GB" w:eastAsia="ja-JP"/>
        </w:rPr>
        <w:t>2019</w:t>
      </w:r>
    </w:p>
    <w:p w14:paraId="0BC928D3" w14:textId="77777777" w:rsidR="008E6434" w:rsidRPr="008E6434" w:rsidRDefault="008E6434" w:rsidP="00CA26CE">
      <w:pPr>
        <w:pStyle w:val="Header"/>
        <w:rPr>
          <w:bCs/>
          <w:noProof w:val="0"/>
          <w:sz w:val="24"/>
          <w:lang w:eastAsia="ja-JP"/>
        </w:rPr>
      </w:pPr>
    </w:p>
    <w:p w14:paraId="3F2FD3AF" w14:textId="688D7133"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492CBB">
        <w:rPr>
          <w:rFonts w:cs="Arial"/>
          <w:b/>
          <w:bCs/>
          <w:sz w:val="24"/>
          <w:szCs w:val="24"/>
        </w:rPr>
        <w:t>5.1</w:t>
      </w:r>
    </w:p>
    <w:p w14:paraId="28D8C0C9" w14:textId="77777777"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1E689B30" w14:textId="0001B37E"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712667">
        <w:rPr>
          <w:rFonts w:ascii="Arial" w:hAnsi="Arial" w:cs="Arial"/>
          <w:b/>
          <w:bCs/>
          <w:sz w:val="24"/>
        </w:rPr>
        <w:t xml:space="preserve">Uplink Tx switching </w:t>
      </w:r>
      <w:r w:rsidR="00BB03FF">
        <w:rPr>
          <w:rFonts w:ascii="Arial" w:hAnsi="Arial" w:cs="Arial"/>
          <w:b/>
          <w:bCs/>
          <w:sz w:val="24"/>
        </w:rPr>
        <w:t>between 1Tx and 2Tx carriers</w:t>
      </w:r>
    </w:p>
    <w:p w14:paraId="2E1654CF" w14:textId="7777777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1068ED">
        <w:rPr>
          <w:rFonts w:ascii="Arial" w:hAnsi="Arial" w:cs="Arial"/>
          <w:b/>
          <w:bCs/>
          <w:sz w:val="24"/>
          <w:szCs w:val="24"/>
        </w:rPr>
        <w:t>Discussion</w:t>
      </w:r>
    </w:p>
    <w:p w14:paraId="29C050E8" w14:textId="77777777" w:rsidR="00ED1327" w:rsidRPr="00ED1327" w:rsidRDefault="00EE7FA7" w:rsidP="00ED1327">
      <w:pPr>
        <w:pStyle w:val="Heading1"/>
      </w:pPr>
      <w:r w:rsidRPr="0016316A">
        <w:t>Introduction</w:t>
      </w:r>
    </w:p>
    <w:p w14:paraId="382D38BB" w14:textId="1232F361" w:rsidR="00103345" w:rsidRDefault="00C617C8" w:rsidP="00103345">
      <w:bookmarkStart w:id="1" w:name="_Hlk510705081"/>
      <w:r>
        <w:t xml:space="preserve">RAN#85 approved a revision to the WID for RF requirements for NR frequency range 1 with the following update to the objectives </w:t>
      </w:r>
      <w:r>
        <w:fldChar w:fldCharType="begin"/>
      </w:r>
      <w:r>
        <w:instrText xml:space="preserve"> REF _Ref20735686 \r \h </w:instrText>
      </w:r>
      <w:r>
        <w:fldChar w:fldCharType="separate"/>
      </w:r>
      <w:r w:rsidR="00DA126A">
        <w:t>[1]</w:t>
      </w:r>
      <w:r>
        <w:fldChar w:fldCharType="end"/>
      </w:r>
      <w:r>
        <w:t>:</w:t>
      </w:r>
    </w:p>
    <w:p w14:paraId="1B42BC7B" w14:textId="77777777" w:rsidR="00C617C8" w:rsidRPr="00C617C8" w:rsidRDefault="00C617C8" w:rsidP="00C617C8">
      <w:pPr>
        <w:numPr>
          <w:ilvl w:val="0"/>
          <w:numId w:val="36"/>
        </w:numPr>
        <w:ind w:left="644"/>
        <w:jc w:val="both"/>
        <w:rPr>
          <w:color w:val="0070C0"/>
          <w:lang w:eastAsia="ja-JP"/>
        </w:rPr>
      </w:pPr>
      <w:r w:rsidRPr="00C617C8">
        <w:rPr>
          <w:color w:val="0070C0"/>
          <w:lang w:eastAsia="ja-JP"/>
        </w:rPr>
        <w:t xml:space="preserve">Specify UE requirements to allow switching between case 1 and case 2 as below for two uplink carriers case inter-band EN-DC without SUL, inter-band UL CA and standalone SUL for UE supporting maximum two concurrent transmission </w:t>
      </w:r>
    </w:p>
    <w:tbl>
      <w:tblPr>
        <w:tblW w:w="6040" w:type="dxa"/>
        <w:jc w:val="center"/>
        <w:tblCellMar>
          <w:left w:w="0" w:type="dxa"/>
          <w:right w:w="0" w:type="dxa"/>
        </w:tblCellMar>
        <w:tblLook w:val="0420" w:firstRow="1" w:lastRow="0" w:firstColumn="0" w:lastColumn="0" w:noHBand="0" w:noVBand="1"/>
      </w:tblPr>
      <w:tblGrid>
        <w:gridCol w:w="1400"/>
        <w:gridCol w:w="4640"/>
      </w:tblGrid>
      <w:tr w:rsidR="00C617C8" w:rsidRPr="00C617C8" w14:paraId="6CF0F297" w14:textId="77777777" w:rsidTr="00C617C8">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456A7D" w14:textId="77777777" w:rsidR="00C617C8" w:rsidRPr="00C617C8" w:rsidRDefault="00C617C8" w:rsidP="00C617C8">
            <w:pPr>
              <w:overflowPunct/>
              <w:autoSpaceDE/>
              <w:autoSpaceDN/>
              <w:adjustRightInd/>
              <w:spacing w:after="0"/>
              <w:textAlignment w:val="auto"/>
              <w:rPr>
                <w:color w:val="0070C0"/>
                <w:lang w:val="en-US" w:eastAsia="zh-CN"/>
              </w:rPr>
            </w:pPr>
            <w:r w:rsidRPr="00C617C8">
              <w:rPr>
                <w:color w:val="0070C0"/>
                <w:kern w:val="24"/>
                <w:lang w:val="en-US" w:eastAsia="zh-CN"/>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13214B" w14:textId="77777777" w:rsidR="00C617C8" w:rsidRPr="00C617C8" w:rsidRDefault="00C617C8" w:rsidP="00C617C8">
            <w:pPr>
              <w:overflowPunct/>
              <w:autoSpaceDE/>
              <w:autoSpaceDN/>
              <w:adjustRightInd/>
              <w:spacing w:after="0"/>
              <w:textAlignment w:val="auto"/>
              <w:rPr>
                <w:color w:val="0070C0"/>
                <w:lang w:val="en-US" w:eastAsia="zh-CN"/>
              </w:rPr>
            </w:pPr>
            <w:r w:rsidRPr="00C617C8">
              <w:rPr>
                <w:color w:val="0070C0"/>
                <w:kern w:val="24"/>
                <w:lang w:val="en-US" w:eastAsia="zh-CN"/>
              </w:rPr>
              <w:t>1 Tx on carrier 1 and 1 Tx on carrier 2</w:t>
            </w:r>
          </w:p>
        </w:tc>
      </w:tr>
      <w:tr w:rsidR="00C617C8" w:rsidRPr="00C617C8" w14:paraId="2278A557" w14:textId="77777777" w:rsidTr="00C617C8">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977B78" w14:textId="77777777" w:rsidR="00C617C8" w:rsidRPr="00C617C8" w:rsidRDefault="00C617C8" w:rsidP="00C617C8">
            <w:pPr>
              <w:overflowPunct/>
              <w:autoSpaceDE/>
              <w:autoSpaceDN/>
              <w:adjustRightInd/>
              <w:spacing w:after="0"/>
              <w:textAlignment w:val="auto"/>
              <w:rPr>
                <w:color w:val="0070C0"/>
                <w:lang w:val="en-US" w:eastAsia="zh-CN"/>
              </w:rPr>
            </w:pPr>
            <w:r w:rsidRPr="00C617C8">
              <w:rPr>
                <w:color w:val="0070C0"/>
                <w:kern w:val="24"/>
                <w:lang w:val="en-US" w:eastAsia="zh-CN"/>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68AB19" w14:textId="77777777" w:rsidR="00C617C8" w:rsidRPr="00C617C8" w:rsidRDefault="00C617C8" w:rsidP="00C617C8">
            <w:pPr>
              <w:overflowPunct/>
              <w:autoSpaceDE/>
              <w:autoSpaceDN/>
              <w:adjustRightInd/>
              <w:spacing w:after="0"/>
              <w:textAlignment w:val="auto"/>
              <w:rPr>
                <w:color w:val="0070C0"/>
                <w:lang w:val="en-US" w:eastAsia="zh-CN"/>
              </w:rPr>
            </w:pPr>
            <w:r w:rsidRPr="00C617C8">
              <w:rPr>
                <w:color w:val="0070C0"/>
                <w:kern w:val="24"/>
                <w:lang w:val="en-US" w:eastAsia="zh-CN"/>
              </w:rPr>
              <w:t xml:space="preserve">0 Tx on carrier 1 and 2 Tx on carrier 2 </w:t>
            </w:r>
          </w:p>
        </w:tc>
      </w:tr>
    </w:tbl>
    <w:p w14:paraId="096BCA7C" w14:textId="77777777" w:rsidR="00C617C8" w:rsidRPr="00C617C8" w:rsidRDefault="00C617C8" w:rsidP="00C617C8">
      <w:pPr>
        <w:autoSpaceDE/>
        <w:autoSpaceDN/>
        <w:adjustRightInd/>
        <w:spacing w:after="0"/>
        <w:ind w:left="239"/>
        <w:textAlignment w:val="auto"/>
        <w:rPr>
          <w:color w:val="0070C0"/>
          <w:lang w:val="en-US" w:eastAsia="zh-CN"/>
        </w:rPr>
      </w:pPr>
    </w:p>
    <w:p w14:paraId="07439C4A" w14:textId="77777777" w:rsidR="00C617C8" w:rsidRPr="00C617C8" w:rsidRDefault="00C617C8" w:rsidP="00C617C8">
      <w:pPr>
        <w:numPr>
          <w:ilvl w:val="1"/>
          <w:numId w:val="37"/>
        </w:numPr>
        <w:tabs>
          <w:tab w:val="clear" w:pos="1440"/>
          <w:tab w:val="num" w:pos="1679"/>
        </w:tabs>
        <w:autoSpaceDE/>
        <w:autoSpaceDN/>
        <w:adjustRightInd/>
        <w:spacing w:after="0"/>
        <w:ind w:left="1679"/>
        <w:textAlignment w:val="auto"/>
        <w:rPr>
          <w:color w:val="0070C0"/>
          <w:lang w:val="en-US" w:eastAsia="zh-CN"/>
        </w:rPr>
      </w:pPr>
      <w:r w:rsidRPr="00C617C8">
        <w:rPr>
          <w:color w:val="0070C0"/>
          <w:kern w:val="24"/>
          <w:lang w:val="en-US" w:eastAsia="zh-CN"/>
        </w:rPr>
        <w:t>UE RF requirements, e.g., time mask RF requirements and other necessary RF requirements if any</w:t>
      </w:r>
    </w:p>
    <w:p w14:paraId="47CF80EC" w14:textId="77777777" w:rsidR="00C617C8" w:rsidRPr="00C617C8" w:rsidRDefault="00C617C8" w:rsidP="00C617C8">
      <w:pPr>
        <w:numPr>
          <w:ilvl w:val="2"/>
          <w:numId w:val="37"/>
        </w:numPr>
        <w:tabs>
          <w:tab w:val="clear" w:pos="2160"/>
          <w:tab w:val="num" w:pos="2399"/>
        </w:tabs>
        <w:autoSpaceDE/>
        <w:autoSpaceDN/>
        <w:adjustRightInd/>
        <w:spacing w:after="0"/>
        <w:ind w:left="2399"/>
        <w:textAlignment w:val="auto"/>
        <w:rPr>
          <w:color w:val="0070C0"/>
          <w:lang w:val="en-US" w:eastAsia="zh-CN"/>
        </w:rPr>
      </w:pPr>
      <w:r w:rsidRPr="00C617C8">
        <w:rPr>
          <w:color w:val="0070C0"/>
          <w:kern w:val="24"/>
          <w:lang w:val="en-US" w:eastAsia="zh-CN"/>
        </w:rPr>
        <w:t>The options agreed at RAN4 #92 in R4-1910531 can be considered as starting point</w:t>
      </w:r>
    </w:p>
    <w:p w14:paraId="7E91C6DB" w14:textId="77777777" w:rsidR="00C617C8" w:rsidRPr="00C617C8" w:rsidRDefault="00C617C8" w:rsidP="00C617C8">
      <w:pPr>
        <w:numPr>
          <w:ilvl w:val="1"/>
          <w:numId w:val="37"/>
        </w:numPr>
        <w:tabs>
          <w:tab w:val="clear" w:pos="1440"/>
          <w:tab w:val="num" w:pos="1679"/>
        </w:tabs>
        <w:autoSpaceDE/>
        <w:autoSpaceDN/>
        <w:adjustRightInd/>
        <w:spacing w:after="0"/>
        <w:ind w:left="1679"/>
        <w:textAlignment w:val="auto"/>
        <w:rPr>
          <w:color w:val="0070C0"/>
          <w:lang w:val="en-US" w:eastAsia="zh-CN"/>
        </w:rPr>
      </w:pPr>
      <w:r w:rsidRPr="00C617C8">
        <w:rPr>
          <w:color w:val="0070C0"/>
          <w:kern w:val="24"/>
          <w:lang w:val="en-US" w:eastAsia="zh-CN"/>
        </w:rPr>
        <w:t>Study if there are any impact to interruption and delay requirements, and specify the RRM requirements if needed</w:t>
      </w:r>
    </w:p>
    <w:p w14:paraId="3986B9B1" w14:textId="77777777" w:rsidR="00C617C8" w:rsidRPr="00C617C8" w:rsidRDefault="00C617C8" w:rsidP="00C617C8">
      <w:pPr>
        <w:numPr>
          <w:ilvl w:val="1"/>
          <w:numId w:val="37"/>
        </w:numPr>
        <w:tabs>
          <w:tab w:val="clear" w:pos="1440"/>
          <w:tab w:val="num" w:pos="1679"/>
        </w:tabs>
        <w:autoSpaceDE/>
        <w:autoSpaceDN/>
        <w:adjustRightInd/>
        <w:spacing w:after="0"/>
        <w:ind w:left="1679"/>
        <w:textAlignment w:val="auto"/>
        <w:rPr>
          <w:color w:val="0070C0"/>
          <w:lang w:val="en-US" w:eastAsia="zh-CN"/>
        </w:rPr>
      </w:pPr>
      <w:r w:rsidRPr="00C617C8">
        <w:rPr>
          <w:color w:val="0070C0"/>
          <w:kern w:val="24"/>
          <w:lang w:val="en-US" w:eastAsia="zh-CN"/>
        </w:rPr>
        <w:t>RAN1 will further study by Dec 2019 if there are any RAN1 potential impacts based on RAN4 LS if any</w:t>
      </w:r>
    </w:p>
    <w:p w14:paraId="008E9824" w14:textId="77777777" w:rsidR="00C617C8" w:rsidRPr="00C617C8" w:rsidRDefault="00C617C8" w:rsidP="00C617C8">
      <w:pPr>
        <w:numPr>
          <w:ilvl w:val="2"/>
          <w:numId w:val="37"/>
        </w:numPr>
        <w:tabs>
          <w:tab w:val="clear" w:pos="2160"/>
          <w:tab w:val="num" w:pos="2399"/>
        </w:tabs>
        <w:autoSpaceDE/>
        <w:autoSpaceDN/>
        <w:adjustRightInd/>
        <w:spacing w:after="0"/>
        <w:ind w:left="2399"/>
        <w:textAlignment w:val="auto"/>
        <w:rPr>
          <w:color w:val="0070C0"/>
          <w:lang w:val="en-US" w:eastAsia="zh-CN"/>
        </w:rPr>
      </w:pPr>
      <w:r w:rsidRPr="00C617C8">
        <w:rPr>
          <w:color w:val="0070C0"/>
          <w:kern w:val="24"/>
          <w:lang w:val="en-US" w:eastAsia="zh-CN"/>
        </w:rPr>
        <w:t xml:space="preserve">No new TDM pattern will be defined, i.e. scheduling-based switching is assumed. </w:t>
      </w:r>
    </w:p>
    <w:p w14:paraId="796F5293" w14:textId="77777777" w:rsidR="00C617C8" w:rsidRPr="00C617C8" w:rsidRDefault="00C617C8" w:rsidP="00C617C8">
      <w:pPr>
        <w:numPr>
          <w:ilvl w:val="2"/>
          <w:numId w:val="37"/>
        </w:numPr>
        <w:tabs>
          <w:tab w:val="clear" w:pos="2160"/>
          <w:tab w:val="num" w:pos="2399"/>
        </w:tabs>
        <w:autoSpaceDE/>
        <w:autoSpaceDN/>
        <w:adjustRightInd/>
        <w:spacing w:after="0"/>
        <w:ind w:left="2399"/>
        <w:textAlignment w:val="auto"/>
        <w:rPr>
          <w:color w:val="0070C0"/>
          <w:lang w:val="en-US" w:eastAsia="zh-CN"/>
        </w:rPr>
      </w:pPr>
      <w:r w:rsidRPr="00C617C8">
        <w:rPr>
          <w:color w:val="0070C0"/>
          <w:kern w:val="24"/>
          <w:lang w:val="en-US" w:eastAsia="zh-CN"/>
        </w:rPr>
        <w:t xml:space="preserve">Finalization of RAN4 requirements and approval of RAN4 CRs shall be based on RAN1 LS  </w:t>
      </w:r>
    </w:p>
    <w:p w14:paraId="3EBFC5C4" w14:textId="77777777" w:rsidR="00C617C8" w:rsidRPr="00C617C8" w:rsidRDefault="00C617C8" w:rsidP="00C617C8">
      <w:pPr>
        <w:numPr>
          <w:ilvl w:val="2"/>
          <w:numId w:val="37"/>
        </w:numPr>
        <w:tabs>
          <w:tab w:val="clear" w:pos="2160"/>
          <w:tab w:val="num" w:pos="2399"/>
        </w:tabs>
        <w:autoSpaceDE/>
        <w:autoSpaceDN/>
        <w:adjustRightInd/>
        <w:spacing w:after="0"/>
        <w:ind w:left="2399"/>
        <w:textAlignment w:val="auto"/>
        <w:rPr>
          <w:color w:val="0070C0"/>
          <w:lang w:val="en-US" w:eastAsia="zh-CN"/>
        </w:rPr>
      </w:pPr>
      <w:r w:rsidRPr="00C617C8">
        <w:rPr>
          <w:color w:val="0070C0"/>
          <w:kern w:val="24"/>
          <w:lang w:val="en-US" w:eastAsia="zh-CN"/>
        </w:rPr>
        <w:t xml:space="preserve">Strive to minimize RAN1 impact. </w:t>
      </w:r>
    </w:p>
    <w:p w14:paraId="5E12D907" w14:textId="77777777" w:rsidR="00C617C8" w:rsidRPr="00C617C8" w:rsidRDefault="00C617C8" w:rsidP="00C617C8">
      <w:pPr>
        <w:numPr>
          <w:ilvl w:val="2"/>
          <w:numId w:val="37"/>
        </w:numPr>
        <w:tabs>
          <w:tab w:val="clear" w:pos="2160"/>
          <w:tab w:val="num" w:pos="2399"/>
        </w:tabs>
        <w:autoSpaceDE/>
        <w:autoSpaceDN/>
        <w:adjustRightInd/>
        <w:spacing w:after="0"/>
        <w:ind w:left="2399"/>
        <w:textAlignment w:val="auto"/>
        <w:rPr>
          <w:color w:val="0070C0"/>
          <w:lang w:val="en-US" w:eastAsia="zh-CN"/>
        </w:rPr>
      </w:pPr>
      <w:r w:rsidRPr="00C617C8">
        <w:rPr>
          <w:color w:val="0070C0"/>
          <w:kern w:val="24"/>
          <w:lang w:val="en-US" w:eastAsia="zh-CN"/>
        </w:rPr>
        <w:t xml:space="preserve">Strive to achieve no impact to RAN1 E-UTRAN spec </w:t>
      </w:r>
    </w:p>
    <w:p w14:paraId="141CBFCE" w14:textId="77777777" w:rsidR="00C617C8" w:rsidRPr="00C617C8" w:rsidRDefault="00C617C8" w:rsidP="00C617C8">
      <w:pPr>
        <w:numPr>
          <w:ilvl w:val="2"/>
          <w:numId w:val="37"/>
        </w:numPr>
        <w:tabs>
          <w:tab w:val="clear" w:pos="2160"/>
          <w:tab w:val="num" w:pos="2399"/>
        </w:tabs>
        <w:autoSpaceDE/>
        <w:autoSpaceDN/>
        <w:adjustRightInd/>
        <w:spacing w:after="0"/>
        <w:ind w:left="2399"/>
        <w:textAlignment w:val="auto"/>
        <w:rPr>
          <w:color w:val="0070C0"/>
          <w:lang w:val="en-US" w:eastAsia="zh-CN"/>
        </w:rPr>
      </w:pPr>
      <w:r w:rsidRPr="00C617C8">
        <w:rPr>
          <w:color w:val="0070C0"/>
          <w:kern w:val="24"/>
          <w:lang w:val="en-US" w:eastAsia="zh-CN"/>
        </w:rPr>
        <w:t xml:space="preserve">Strive to avoid defining location of switching period impacting RAN1 spec </w:t>
      </w:r>
    </w:p>
    <w:p w14:paraId="2DF708A5" w14:textId="77777777" w:rsidR="00C617C8" w:rsidRPr="00C617C8" w:rsidRDefault="00C617C8" w:rsidP="00C617C8">
      <w:pPr>
        <w:numPr>
          <w:ilvl w:val="1"/>
          <w:numId w:val="37"/>
        </w:numPr>
        <w:tabs>
          <w:tab w:val="clear" w:pos="1440"/>
          <w:tab w:val="num" w:pos="1679"/>
        </w:tabs>
        <w:autoSpaceDE/>
        <w:autoSpaceDN/>
        <w:adjustRightInd/>
        <w:spacing w:after="0"/>
        <w:ind w:left="1679"/>
        <w:textAlignment w:val="auto"/>
        <w:rPr>
          <w:color w:val="0070C0"/>
          <w:lang w:val="en-US" w:eastAsia="zh-CN"/>
        </w:rPr>
      </w:pPr>
      <w:r w:rsidRPr="00C617C8">
        <w:rPr>
          <w:color w:val="0070C0"/>
          <w:kern w:val="24"/>
          <w:lang w:val="en-US" w:eastAsia="zh-CN"/>
        </w:rPr>
        <w:t>Define per band per band combination or per band combination UE capability signaling if needed</w:t>
      </w:r>
    </w:p>
    <w:p w14:paraId="79136E5D" w14:textId="77777777" w:rsidR="00C617C8" w:rsidRPr="00C617C8" w:rsidRDefault="00C617C8" w:rsidP="00C617C8">
      <w:pPr>
        <w:autoSpaceDE/>
        <w:autoSpaceDN/>
        <w:adjustRightInd/>
        <w:spacing w:before="58" w:after="0"/>
        <w:ind w:left="1205" w:hanging="446"/>
        <w:textAlignment w:val="auto"/>
        <w:rPr>
          <w:color w:val="0070C0"/>
          <w:lang w:val="en-US" w:eastAsia="zh-CN"/>
        </w:rPr>
      </w:pPr>
      <w:r w:rsidRPr="00C617C8">
        <w:rPr>
          <w:color w:val="0070C0"/>
          <w:kern w:val="24"/>
          <w:lang w:val="en-US" w:eastAsia="zh-CN"/>
        </w:rPr>
        <w:t>Note 1: Only addressing the case of co-located and synchronized network deployment for the two UL carriers</w:t>
      </w:r>
    </w:p>
    <w:p w14:paraId="797DF079" w14:textId="4112B7F0" w:rsidR="00C617C8" w:rsidRPr="00C617C8" w:rsidRDefault="00C617C8" w:rsidP="00C617C8">
      <w:pPr>
        <w:autoSpaceDE/>
        <w:autoSpaceDN/>
        <w:adjustRightInd/>
        <w:spacing w:before="58" w:after="0"/>
        <w:ind w:left="1205" w:hanging="446"/>
        <w:textAlignment w:val="auto"/>
        <w:rPr>
          <w:color w:val="0070C0"/>
          <w:lang w:val="en-US" w:eastAsia="zh-CN"/>
        </w:rPr>
      </w:pPr>
      <w:r w:rsidRPr="00C617C8">
        <w:rPr>
          <w:color w:val="0070C0"/>
          <w:kern w:val="24"/>
          <w:lang w:val="en-US" w:eastAsia="zh-CN"/>
        </w:rPr>
        <w:t>Note 2:</w:t>
      </w:r>
      <w:r>
        <w:rPr>
          <w:color w:val="0070C0"/>
          <w:kern w:val="24"/>
          <w:lang w:val="en-US" w:eastAsia="zh-CN"/>
        </w:rPr>
        <w:tab/>
      </w:r>
      <w:r w:rsidRPr="00C617C8">
        <w:rPr>
          <w:color w:val="0070C0"/>
          <w:kern w:val="24"/>
          <w:lang w:val="en-US" w:eastAsia="zh-CN"/>
        </w:rPr>
        <w:t>Only addressing the case of single TAG for the two UL carriers for SUL and for UL CA</w:t>
      </w:r>
    </w:p>
    <w:p w14:paraId="6F7F5A8C" w14:textId="06275625" w:rsidR="00C617C8" w:rsidRPr="00C617C8" w:rsidRDefault="00C617C8" w:rsidP="00C617C8">
      <w:pPr>
        <w:autoSpaceDE/>
        <w:autoSpaceDN/>
        <w:adjustRightInd/>
        <w:spacing w:before="58" w:after="0"/>
        <w:ind w:left="1205" w:hanging="446"/>
        <w:textAlignment w:val="auto"/>
        <w:rPr>
          <w:color w:val="0070C0"/>
          <w:lang w:val="en-US" w:eastAsia="zh-CN"/>
        </w:rPr>
      </w:pPr>
      <w:r w:rsidRPr="00C617C8">
        <w:rPr>
          <w:color w:val="0070C0"/>
          <w:kern w:val="24"/>
          <w:lang w:val="en-US" w:eastAsia="zh-CN"/>
        </w:rPr>
        <w:t>Note 3: The above objectives will not relax the existing requirements specified in Rel-15 38.101-3 for band combinations allowing single uplink transmission</w:t>
      </w:r>
    </w:p>
    <w:p w14:paraId="03C1B229" w14:textId="77777777" w:rsidR="00C617C8" w:rsidRPr="00C617C8" w:rsidRDefault="00C617C8" w:rsidP="00C617C8">
      <w:pPr>
        <w:autoSpaceDE/>
        <w:autoSpaceDN/>
        <w:adjustRightInd/>
        <w:spacing w:before="58" w:after="0"/>
        <w:ind w:left="1205" w:hanging="446"/>
        <w:textAlignment w:val="auto"/>
        <w:rPr>
          <w:color w:val="0070C0"/>
          <w:lang w:val="en-US" w:eastAsia="zh-CN"/>
        </w:rPr>
      </w:pPr>
      <w:r w:rsidRPr="00C617C8">
        <w:rPr>
          <w:color w:val="0070C0"/>
          <w:kern w:val="24"/>
          <w:lang w:val="en-US" w:eastAsia="zh-CN"/>
        </w:rPr>
        <w:t>Note 4: The UE is configured with two different uplink carrier frequencies.</w:t>
      </w:r>
    </w:p>
    <w:p w14:paraId="3363C39A" w14:textId="77777777" w:rsidR="00C617C8" w:rsidRDefault="00C617C8" w:rsidP="00C617C8">
      <w:pPr>
        <w:jc w:val="both"/>
        <w:rPr>
          <w:rFonts w:eastAsia="MS Mincho"/>
          <w:lang w:val="en-US" w:eastAsia="ja-JP"/>
        </w:rPr>
      </w:pPr>
    </w:p>
    <w:p w14:paraId="2A6DFADC" w14:textId="705FB4B1" w:rsidR="00C617C8" w:rsidRPr="00C617C8" w:rsidRDefault="00C617C8" w:rsidP="00C617C8">
      <w:pPr>
        <w:jc w:val="both"/>
        <w:rPr>
          <w:lang w:val="en-US"/>
        </w:rPr>
      </w:pPr>
      <w:r>
        <w:rPr>
          <w:rFonts w:eastAsia="MS Mincho"/>
          <w:lang w:val="en-US" w:eastAsia="ja-JP"/>
        </w:rPr>
        <w:t>In our view some basic assumptions on how the switching is to take place would need to be discussed, agreed and potentially specified by RAN1. This document is intended to initiate the discussion on these points.</w:t>
      </w:r>
    </w:p>
    <w:bookmarkEnd w:id="1"/>
    <w:p w14:paraId="7EE6982E" w14:textId="32CBF8E4" w:rsidR="00885580" w:rsidRDefault="00DA19D0" w:rsidP="00885580">
      <w:pPr>
        <w:pStyle w:val="Heading1"/>
      </w:pPr>
      <w:r>
        <w:t>Motivation for the switching</w:t>
      </w:r>
    </w:p>
    <w:p w14:paraId="6D753708" w14:textId="099C5FFB" w:rsidR="00D46F2C" w:rsidRDefault="00B90DE9" w:rsidP="00617EE8">
      <w:pPr>
        <w:rPr>
          <w:lang w:val="en-US"/>
        </w:rPr>
      </w:pPr>
      <w:r>
        <w:rPr>
          <w:lang w:val="en-US"/>
        </w:rPr>
        <w:t xml:space="preserve">The updated WID </w:t>
      </w:r>
      <w:r w:rsidR="00D83266">
        <w:rPr>
          <w:lang w:val="en-US"/>
        </w:rPr>
        <w:t xml:space="preserve">does </w:t>
      </w:r>
      <w:r w:rsidR="00B33153">
        <w:rPr>
          <w:lang w:val="en-US"/>
        </w:rPr>
        <w:t xml:space="preserve">not include </w:t>
      </w:r>
      <w:r w:rsidR="00D83266">
        <w:rPr>
          <w:lang w:val="en-US"/>
        </w:rPr>
        <w:t xml:space="preserve">the </w:t>
      </w:r>
      <w:r w:rsidR="00B33153">
        <w:rPr>
          <w:lang w:val="en-US"/>
        </w:rPr>
        <w:t>justification or target use case for the new objective</w:t>
      </w:r>
      <w:r w:rsidR="00DA19D0">
        <w:rPr>
          <w:lang w:val="en-US"/>
        </w:rPr>
        <w:t>, h</w:t>
      </w:r>
      <w:r w:rsidR="00B33153">
        <w:rPr>
          <w:lang w:val="en-US"/>
        </w:rPr>
        <w:t xml:space="preserve">owever, the </w:t>
      </w:r>
      <w:r w:rsidR="00F921C1">
        <w:rPr>
          <w:lang w:val="en-US"/>
        </w:rPr>
        <w:t xml:space="preserve">two </w:t>
      </w:r>
      <w:proofErr w:type="spellStart"/>
      <w:r w:rsidR="00F921C1">
        <w:rPr>
          <w:lang w:val="en-US"/>
        </w:rPr>
        <w:t>Tdocs</w:t>
      </w:r>
      <w:proofErr w:type="spellEnd"/>
      <w:r w:rsidR="00F921C1">
        <w:rPr>
          <w:lang w:val="en-US"/>
        </w:rPr>
        <w:t xml:space="preserve"> </w:t>
      </w:r>
      <w:r w:rsidR="00DA19D0">
        <w:rPr>
          <w:lang w:val="en-US"/>
        </w:rPr>
        <w:fldChar w:fldCharType="begin"/>
      </w:r>
      <w:r w:rsidR="00DA19D0">
        <w:rPr>
          <w:lang w:val="en-US"/>
        </w:rPr>
        <w:instrText xml:space="preserve"> REF _Ref20739577 \r \h </w:instrText>
      </w:r>
      <w:r w:rsidR="00DA19D0">
        <w:rPr>
          <w:lang w:val="en-US"/>
        </w:rPr>
      </w:r>
      <w:r w:rsidR="00DA19D0">
        <w:rPr>
          <w:lang w:val="en-US"/>
        </w:rPr>
        <w:fldChar w:fldCharType="separate"/>
      </w:r>
      <w:r w:rsidR="00DA126A">
        <w:rPr>
          <w:lang w:val="en-US"/>
        </w:rPr>
        <w:t>[2]</w:t>
      </w:r>
      <w:r w:rsidR="00DA19D0">
        <w:rPr>
          <w:lang w:val="en-US"/>
        </w:rPr>
        <w:fldChar w:fldCharType="end"/>
      </w:r>
      <w:r w:rsidR="00DA19D0">
        <w:rPr>
          <w:lang w:val="en-US"/>
        </w:rPr>
        <w:fldChar w:fldCharType="begin"/>
      </w:r>
      <w:r w:rsidR="00DA19D0">
        <w:rPr>
          <w:lang w:val="en-US"/>
        </w:rPr>
        <w:instrText xml:space="preserve"> REF _Ref20739580 \r \h </w:instrText>
      </w:r>
      <w:r w:rsidR="00DA19D0">
        <w:rPr>
          <w:lang w:val="en-US"/>
        </w:rPr>
      </w:r>
      <w:r w:rsidR="00DA19D0">
        <w:rPr>
          <w:lang w:val="en-US"/>
        </w:rPr>
        <w:fldChar w:fldCharType="separate"/>
      </w:r>
      <w:r w:rsidR="00DA126A">
        <w:rPr>
          <w:lang w:val="en-US"/>
        </w:rPr>
        <w:t>[3]</w:t>
      </w:r>
      <w:r w:rsidR="00DA19D0">
        <w:rPr>
          <w:lang w:val="en-US"/>
        </w:rPr>
        <w:fldChar w:fldCharType="end"/>
      </w:r>
      <w:r w:rsidR="00DA19D0">
        <w:rPr>
          <w:lang w:val="en-US"/>
        </w:rPr>
        <w:t xml:space="preserve"> outline the motivation</w:t>
      </w:r>
      <w:r w:rsidR="00D83266">
        <w:rPr>
          <w:lang w:val="en-US"/>
        </w:rPr>
        <w:t xml:space="preserve"> and they </w:t>
      </w:r>
      <w:r w:rsidR="00E83B19">
        <w:rPr>
          <w:lang w:val="en-US"/>
        </w:rPr>
        <w:t>are</w:t>
      </w:r>
      <w:r w:rsidR="00D83266">
        <w:rPr>
          <w:lang w:val="en-US"/>
        </w:rPr>
        <w:t xml:space="preserve"> used as a reference for this contribution</w:t>
      </w:r>
      <w:r w:rsidR="00DA19D0">
        <w:rPr>
          <w:lang w:val="en-US"/>
        </w:rPr>
        <w:t>:</w:t>
      </w:r>
    </w:p>
    <w:tbl>
      <w:tblPr>
        <w:tblStyle w:val="TableGrid"/>
        <w:tblW w:w="0" w:type="auto"/>
        <w:tblLook w:val="04A0" w:firstRow="1" w:lastRow="0" w:firstColumn="1" w:lastColumn="0" w:noHBand="0" w:noVBand="1"/>
      </w:tblPr>
      <w:tblGrid>
        <w:gridCol w:w="9629"/>
      </w:tblGrid>
      <w:tr w:rsidR="00243398" w14:paraId="34E8CBD7" w14:textId="77777777" w:rsidTr="00247929">
        <w:tc>
          <w:tcPr>
            <w:tcW w:w="9629" w:type="dxa"/>
          </w:tcPr>
          <w:p w14:paraId="315DBF28" w14:textId="77777777" w:rsidR="00243398" w:rsidRPr="00DA19D0" w:rsidRDefault="00243398" w:rsidP="00247929">
            <w:pPr>
              <w:tabs>
                <w:tab w:val="num" w:pos="720"/>
              </w:tabs>
              <w:rPr>
                <w:b/>
                <w:color w:val="0070C0"/>
                <w:lang w:val="en-US"/>
              </w:rPr>
            </w:pPr>
            <w:r>
              <w:rPr>
                <w:b/>
                <w:color w:val="0070C0"/>
                <w:lang w:val="en-US"/>
              </w:rPr>
              <w:t xml:space="preserve">Motivation </w:t>
            </w:r>
          </w:p>
          <w:p w14:paraId="747B30CD" w14:textId="77777777" w:rsidR="00DA19D0" w:rsidRPr="00DA19D0" w:rsidRDefault="00DA19D0" w:rsidP="00247929">
            <w:pPr>
              <w:numPr>
                <w:ilvl w:val="0"/>
                <w:numId w:val="38"/>
              </w:numPr>
              <w:tabs>
                <w:tab w:val="num" w:pos="720"/>
              </w:tabs>
              <w:rPr>
                <w:color w:val="0070C0"/>
                <w:lang w:val="en-US"/>
              </w:rPr>
            </w:pPr>
            <w:r w:rsidRPr="00DA19D0">
              <w:rPr>
                <w:color w:val="0070C0"/>
                <w:lang w:val="en-US"/>
              </w:rPr>
              <w:t>M</w:t>
            </w:r>
            <w:proofErr w:type="spellStart"/>
            <w:r w:rsidRPr="00DA19D0">
              <w:rPr>
                <w:color w:val="0070C0"/>
                <w:lang w:val="x-none"/>
              </w:rPr>
              <w:t>ain</w:t>
            </w:r>
            <w:proofErr w:type="spellEnd"/>
            <w:r w:rsidRPr="00DA19D0">
              <w:rPr>
                <w:color w:val="0070C0"/>
                <w:lang w:val="x-none"/>
              </w:rPr>
              <w:t xml:space="preserve"> benefits of 2Tx over 1Tx</w:t>
            </w:r>
          </w:p>
          <w:p w14:paraId="350C2F6B" w14:textId="77777777" w:rsidR="00DA19D0" w:rsidRPr="00DA19D0" w:rsidRDefault="00DA19D0" w:rsidP="00247929">
            <w:pPr>
              <w:numPr>
                <w:ilvl w:val="1"/>
                <w:numId w:val="38"/>
              </w:numPr>
              <w:tabs>
                <w:tab w:val="num" w:pos="1440"/>
              </w:tabs>
              <w:rPr>
                <w:color w:val="0070C0"/>
                <w:lang w:val="en-US"/>
              </w:rPr>
            </w:pPr>
            <w:r w:rsidRPr="00DA19D0">
              <w:rPr>
                <w:color w:val="0070C0"/>
                <w:lang w:val="en-US"/>
              </w:rPr>
              <w:lastRenderedPageBreak/>
              <w:t>W</w:t>
            </w:r>
            <w:proofErr w:type="spellStart"/>
            <w:r w:rsidRPr="00DA19D0">
              <w:rPr>
                <w:color w:val="0070C0"/>
                <w:lang w:val="x-none"/>
              </w:rPr>
              <w:t>ith</w:t>
            </w:r>
            <w:proofErr w:type="spellEnd"/>
            <w:r w:rsidRPr="00DA19D0">
              <w:rPr>
                <w:color w:val="0070C0"/>
                <w:lang w:val="x-none"/>
              </w:rPr>
              <w:t xml:space="preserve"> the wide deployment of massive MIMO and the use of 16, 32 or 64 receiver antenna ports at NR BS, the operating SNR level for UL-MIMO can be significantly decreased. So compared to LTE, UL-MIMO with 2Tx is much more useful for NR. </w:t>
            </w:r>
          </w:p>
          <w:p w14:paraId="2F83FAF5" w14:textId="77777777" w:rsidR="00DA19D0" w:rsidRPr="00DA19D0" w:rsidRDefault="00DA19D0" w:rsidP="00247929">
            <w:pPr>
              <w:numPr>
                <w:ilvl w:val="1"/>
                <w:numId w:val="38"/>
              </w:numPr>
              <w:tabs>
                <w:tab w:val="num" w:pos="1440"/>
              </w:tabs>
              <w:rPr>
                <w:color w:val="0070C0"/>
                <w:lang w:val="en-US"/>
              </w:rPr>
            </w:pPr>
            <w:r w:rsidRPr="00DA19D0">
              <w:rPr>
                <w:color w:val="0070C0"/>
                <w:lang w:val="en-US"/>
              </w:rPr>
              <w:t>G</w:t>
            </w:r>
            <w:proofErr w:type="spellStart"/>
            <w:r w:rsidRPr="00DA19D0">
              <w:rPr>
                <w:color w:val="0070C0"/>
                <w:lang w:val="x-none"/>
              </w:rPr>
              <w:t>iven</w:t>
            </w:r>
            <w:proofErr w:type="spellEnd"/>
            <w:r w:rsidRPr="00DA19D0">
              <w:rPr>
                <w:color w:val="0070C0"/>
                <w:lang w:val="x-none"/>
              </w:rPr>
              <w:t xml:space="preserve"> the use of 4Rx, 2T4R implementation on UE is more preferred than 1T4R for SRS antenna switching, which will improve the downlink MIMO performance. </w:t>
            </w:r>
          </w:p>
          <w:p w14:paraId="753F4FBC" w14:textId="77777777" w:rsidR="00DA19D0" w:rsidRPr="00DA19D0" w:rsidRDefault="00DA19D0" w:rsidP="00247929">
            <w:pPr>
              <w:numPr>
                <w:ilvl w:val="1"/>
                <w:numId w:val="38"/>
              </w:numPr>
              <w:tabs>
                <w:tab w:val="num" w:pos="1440"/>
              </w:tabs>
              <w:rPr>
                <w:color w:val="0070C0"/>
                <w:lang w:val="en-US"/>
              </w:rPr>
            </w:pPr>
            <w:r w:rsidRPr="00DA19D0">
              <w:rPr>
                <w:color w:val="0070C0"/>
                <w:lang w:val="x-none"/>
              </w:rPr>
              <w:t xml:space="preserve">2Tx is linked to the </w:t>
            </w:r>
            <w:r w:rsidRPr="00DA19D0">
              <w:rPr>
                <w:color w:val="0070C0"/>
                <w:lang w:val="en-US"/>
              </w:rPr>
              <w:t xml:space="preserve">potential </w:t>
            </w:r>
            <w:r w:rsidRPr="00DA19D0">
              <w:rPr>
                <w:color w:val="0070C0"/>
                <w:lang w:val="x-none"/>
              </w:rPr>
              <w:t>support of 26dBm high power UE in practical.</w:t>
            </w:r>
          </w:p>
          <w:p w14:paraId="18E2CB1F" w14:textId="77777777" w:rsidR="00DA19D0" w:rsidRPr="00DA19D0" w:rsidRDefault="00DA19D0" w:rsidP="00247929">
            <w:pPr>
              <w:numPr>
                <w:ilvl w:val="0"/>
                <w:numId w:val="38"/>
              </w:numPr>
              <w:tabs>
                <w:tab w:val="num" w:pos="720"/>
              </w:tabs>
              <w:rPr>
                <w:color w:val="0070C0"/>
                <w:lang w:val="en-US"/>
              </w:rPr>
            </w:pPr>
            <w:r w:rsidRPr="00DA19D0">
              <w:rPr>
                <w:color w:val="0070C0"/>
                <w:lang w:val="en-US"/>
              </w:rPr>
              <w:t xml:space="preserve">Currently NR commercial UEs can support at most 2 concurrent uplink transmission chains in FR1, due to terminal cost, power consumption and heat dissipation issues. </w:t>
            </w:r>
          </w:p>
          <w:p w14:paraId="4F97266C" w14:textId="77777777" w:rsidR="00243398" w:rsidRPr="00DA19D0" w:rsidRDefault="00DA19D0" w:rsidP="00247929">
            <w:pPr>
              <w:numPr>
                <w:ilvl w:val="0"/>
                <w:numId w:val="38"/>
              </w:numPr>
              <w:rPr>
                <w:lang w:val="en-US"/>
              </w:rPr>
            </w:pPr>
            <w:r w:rsidRPr="00DA19D0">
              <w:rPr>
                <w:color w:val="0070C0"/>
                <w:lang w:val="en-US"/>
              </w:rPr>
              <w:t>Therefore, to enable 2 Tx on NR carrier together with EN-DC, SUL and UL CA, an efficient way is to introduce Tx switching between two uplink carriers.</w:t>
            </w:r>
          </w:p>
          <w:p w14:paraId="74A9E5FB" w14:textId="51DAFBB7" w:rsidR="00243398" w:rsidRPr="00DA19D0" w:rsidRDefault="00243398" w:rsidP="00247929">
            <w:pPr>
              <w:rPr>
                <w:lang w:val="en-US"/>
              </w:rPr>
            </w:pPr>
            <w:r>
              <w:rPr>
                <w:lang w:val="en-US"/>
              </w:rPr>
              <w:fldChar w:fldCharType="begin"/>
            </w:r>
            <w:r>
              <w:rPr>
                <w:lang w:val="en-US"/>
              </w:rPr>
              <w:instrText xml:space="preserve"> REF _Ref20739580 \r \h </w:instrText>
            </w:r>
            <w:r>
              <w:rPr>
                <w:lang w:val="en-US"/>
              </w:rPr>
            </w:r>
            <w:r>
              <w:rPr>
                <w:lang w:val="en-US"/>
              </w:rPr>
              <w:fldChar w:fldCharType="separate"/>
            </w:r>
            <w:r w:rsidR="00DA126A">
              <w:rPr>
                <w:lang w:val="en-US"/>
              </w:rPr>
              <w:t>[3]</w:t>
            </w:r>
            <w:r>
              <w:rPr>
                <w:lang w:val="en-US"/>
              </w:rPr>
              <w:fldChar w:fldCharType="end"/>
            </w:r>
          </w:p>
        </w:tc>
      </w:tr>
    </w:tbl>
    <w:p w14:paraId="61E0C21B" w14:textId="77777777" w:rsidR="00243398" w:rsidRDefault="00243398" w:rsidP="00243398">
      <w:pPr>
        <w:rPr>
          <w:lang w:val="en-US"/>
        </w:rPr>
      </w:pPr>
    </w:p>
    <w:tbl>
      <w:tblPr>
        <w:tblStyle w:val="TableGrid"/>
        <w:tblW w:w="0" w:type="auto"/>
        <w:tblLook w:val="04A0" w:firstRow="1" w:lastRow="0" w:firstColumn="1" w:lastColumn="0" w:noHBand="0" w:noVBand="1"/>
      </w:tblPr>
      <w:tblGrid>
        <w:gridCol w:w="9629"/>
      </w:tblGrid>
      <w:tr w:rsidR="00DA19D0" w14:paraId="33203121" w14:textId="77777777" w:rsidTr="00DA19D0">
        <w:tc>
          <w:tcPr>
            <w:tcW w:w="9629" w:type="dxa"/>
          </w:tcPr>
          <w:p w14:paraId="0E3AB794" w14:textId="77777777" w:rsidR="00DA19D0" w:rsidRPr="00DA19D0" w:rsidRDefault="00DA19D0" w:rsidP="00DA19D0">
            <w:pPr>
              <w:pStyle w:val="BodyText"/>
              <w:tabs>
                <w:tab w:val="num" w:pos="226"/>
                <w:tab w:val="num" w:pos="284"/>
                <w:tab w:val="left" w:pos="5103"/>
              </w:tabs>
              <w:snapToGrid w:val="0"/>
              <w:rPr>
                <w:color w:val="0070C0"/>
                <w:sz w:val="21"/>
                <w:szCs w:val="21"/>
                <w:lang w:val="x-none" w:eastAsia="zh-CN"/>
              </w:rPr>
            </w:pPr>
            <w:r w:rsidRPr="00DA19D0">
              <w:rPr>
                <w:color w:val="0070C0"/>
                <w:sz w:val="21"/>
                <w:szCs w:val="21"/>
                <w:lang w:eastAsia="zh-CN"/>
              </w:rPr>
              <w:t>As discussed above, the baseline assumption is that commercial UEs can support up to two transmitters at the current stage. Based on it, the feasible approach is TDM on two carriers, in order to support UL-MIMO (2Tx antennas) on NR mainstream bands for EN-DC, feature SUL and UL CA.</w:t>
            </w:r>
          </w:p>
          <w:p w14:paraId="7DA1738A" w14:textId="77777777" w:rsidR="00DA19D0" w:rsidRPr="00DA19D0" w:rsidRDefault="00DA19D0" w:rsidP="00DA19D0">
            <w:pPr>
              <w:pStyle w:val="BodyText"/>
              <w:tabs>
                <w:tab w:val="num" w:pos="226"/>
                <w:tab w:val="num" w:pos="284"/>
                <w:tab w:val="left" w:pos="5103"/>
              </w:tabs>
              <w:snapToGrid w:val="0"/>
              <w:rPr>
                <w:color w:val="0070C0"/>
                <w:sz w:val="21"/>
                <w:szCs w:val="21"/>
                <w:lang w:eastAsia="zh-CN"/>
              </w:rPr>
            </w:pPr>
            <w:r w:rsidRPr="00DA19D0">
              <w:rPr>
                <w:color w:val="0070C0"/>
                <w:sz w:val="21"/>
                <w:szCs w:val="21"/>
                <w:lang w:eastAsia="zh-CN"/>
              </w:rPr>
              <w:t>When looking into this approach as shown in Figure 1, UE needs to switch from 1Tx on one carrier to 2Tx on the other carrier. From operator’s point of view, we were seeking for the possibility of do the switching within 0 us. However, based on the feedback from chipset vendors, currently it is impossible to realize 0us switching time for UE capable of two transmitters.</w:t>
            </w:r>
          </w:p>
          <w:p w14:paraId="6A8DF4E6" w14:textId="77777777" w:rsidR="00DA19D0" w:rsidRPr="00DA19D0" w:rsidRDefault="00DA19D0" w:rsidP="00DA19D0">
            <w:pPr>
              <w:pStyle w:val="BodyText"/>
              <w:tabs>
                <w:tab w:val="num" w:pos="226"/>
                <w:tab w:val="num" w:pos="284"/>
                <w:tab w:val="left" w:pos="5103"/>
              </w:tabs>
              <w:snapToGrid w:val="0"/>
              <w:jc w:val="center"/>
              <w:rPr>
                <w:color w:val="0070C0"/>
                <w:sz w:val="21"/>
                <w:szCs w:val="21"/>
                <w:lang w:eastAsia="zh-CN"/>
              </w:rPr>
            </w:pPr>
          </w:p>
          <w:p w14:paraId="4E8C744C" w14:textId="25E202B1" w:rsidR="00DA19D0" w:rsidRPr="00DA19D0" w:rsidRDefault="00DA19D0" w:rsidP="00DA19D0">
            <w:pPr>
              <w:pStyle w:val="BodyText"/>
              <w:tabs>
                <w:tab w:val="num" w:pos="226"/>
                <w:tab w:val="num" w:pos="284"/>
                <w:tab w:val="left" w:pos="5103"/>
              </w:tabs>
              <w:snapToGrid w:val="0"/>
              <w:jc w:val="center"/>
              <w:rPr>
                <w:color w:val="0070C0"/>
                <w:sz w:val="21"/>
                <w:szCs w:val="21"/>
                <w:lang w:val="x-none" w:eastAsia="zh-CN"/>
              </w:rPr>
            </w:pPr>
            <w:r w:rsidRPr="00DA19D0">
              <w:rPr>
                <w:noProof/>
                <w:color w:val="0070C0"/>
                <w:sz w:val="21"/>
                <w:szCs w:val="21"/>
                <w:lang w:eastAsia="zh-CN"/>
              </w:rPr>
              <w:drawing>
                <wp:inline distT="0" distB="0" distL="0" distR="0" wp14:anchorId="445D68DB" wp14:editId="3ABB616C">
                  <wp:extent cx="4149090" cy="149225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49090" cy="1492250"/>
                          </a:xfrm>
                          <a:prstGeom prst="rect">
                            <a:avLst/>
                          </a:prstGeom>
                          <a:noFill/>
                          <a:ln>
                            <a:noFill/>
                          </a:ln>
                        </pic:spPr>
                      </pic:pic>
                    </a:graphicData>
                  </a:graphic>
                </wp:inline>
              </w:drawing>
            </w:r>
          </w:p>
          <w:p w14:paraId="0F999CF7" w14:textId="6F6AFF9A" w:rsidR="00DA19D0" w:rsidRPr="00DA19D0" w:rsidRDefault="00DA19D0" w:rsidP="00DA19D0">
            <w:pPr>
              <w:spacing w:beforeLines="50" w:before="120" w:afterLines="50" w:after="120"/>
              <w:jc w:val="center"/>
              <w:rPr>
                <w:color w:val="0070C0"/>
                <w:lang w:val="en-US"/>
              </w:rPr>
            </w:pPr>
            <w:r w:rsidRPr="00DA19D0">
              <w:rPr>
                <w:b/>
                <w:color w:val="0070C0"/>
                <w:lang w:eastAsia="zh-CN"/>
              </w:rPr>
              <w:t xml:space="preserve">Figure 1: Illustration of 1Tx -&gt; 2Tx and 2Tx-&gt;1Tx switching </w:t>
            </w:r>
          </w:p>
          <w:p w14:paraId="464BA259" w14:textId="77777777" w:rsidR="00DA19D0" w:rsidRPr="00DA19D0" w:rsidRDefault="00DA19D0" w:rsidP="00DA19D0">
            <w:pPr>
              <w:pStyle w:val="BodyText"/>
              <w:tabs>
                <w:tab w:val="num" w:pos="226"/>
                <w:tab w:val="num" w:pos="284"/>
                <w:tab w:val="left" w:pos="5103"/>
              </w:tabs>
              <w:snapToGrid w:val="0"/>
              <w:rPr>
                <w:color w:val="0070C0"/>
                <w:sz w:val="21"/>
                <w:szCs w:val="21"/>
                <w:lang w:val="x-none" w:eastAsia="zh-CN"/>
              </w:rPr>
            </w:pPr>
            <w:r w:rsidRPr="00DA19D0">
              <w:rPr>
                <w:color w:val="0070C0"/>
                <w:sz w:val="21"/>
                <w:szCs w:val="21"/>
                <w:lang w:eastAsia="zh-CN"/>
              </w:rPr>
              <w:t xml:space="preserve">In order to avoid the restriction of three transmitters on UE implementation, certain switching period </w:t>
            </w:r>
            <w:proofErr w:type="gramStart"/>
            <w:r w:rsidRPr="00DA19D0">
              <w:rPr>
                <w:color w:val="0070C0"/>
                <w:sz w:val="21"/>
                <w:szCs w:val="21"/>
                <w:lang w:eastAsia="zh-CN"/>
              </w:rPr>
              <w:t>has to</w:t>
            </w:r>
            <w:proofErr w:type="gramEnd"/>
            <w:r w:rsidRPr="00DA19D0">
              <w:rPr>
                <w:color w:val="0070C0"/>
                <w:sz w:val="21"/>
                <w:szCs w:val="21"/>
                <w:lang w:eastAsia="zh-CN"/>
              </w:rPr>
              <w:t xml:space="preserve"> be allowed. During the switching period, UE should not be scheduled for uplink transmission. Besides, it is important for both network and UE to know the length and location of such switching period, otherwise there will be potential failure for the uplink demodulation.</w:t>
            </w:r>
          </w:p>
          <w:p w14:paraId="5EA00F0A" w14:textId="77777777" w:rsidR="00DA19D0" w:rsidRDefault="00DA19D0" w:rsidP="00DA19D0">
            <w:pPr>
              <w:pStyle w:val="BodyText"/>
              <w:tabs>
                <w:tab w:val="num" w:pos="226"/>
                <w:tab w:val="num" w:pos="284"/>
                <w:tab w:val="left" w:pos="5103"/>
              </w:tabs>
              <w:snapToGrid w:val="0"/>
              <w:rPr>
                <w:sz w:val="21"/>
                <w:szCs w:val="21"/>
                <w:lang w:eastAsia="zh-CN"/>
              </w:rPr>
            </w:pPr>
            <w:r w:rsidRPr="00DA19D0">
              <w:rPr>
                <w:color w:val="0070C0"/>
                <w:sz w:val="21"/>
                <w:szCs w:val="21"/>
                <w:lang w:eastAsia="zh-CN"/>
              </w:rPr>
              <w:t xml:space="preserve">In our view, such UE </w:t>
            </w:r>
            <w:proofErr w:type="spellStart"/>
            <w:r w:rsidRPr="00DA19D0">
              <w:rPr>
                <w:color w:val="0070C0"/>
                <w:sz w:val="21"/>
                <w:szCs w:val="21"/>
                <w:lang w:eastAsia="zh-CN"/>
              </w:rPr>
              <w:t>behavior</w:t>
            </w:r>
            <w:proofErr w:type="spellEnd"/>
            <w:r w:rsidRPr="00DA19D0">
              <w:rPr>
                <w:color w:val="0070C0"/>
                <w:sz w:val="21"/>
                <w:szCs w:val="21"/>
                <w:lang w:eastAsia="zh-CN"/>
              </w:rPr>
              <w:t xml:space="preserve"> for 1Tx to 2Tx switching across carriers is quite general for EN-DC SUO mode, SUL and UL CA. And such </w:t>
            </w:r>
            <w:proofErr w:type="spellStart"/>
            <w:r w:rsidRPr="00DA19D0">
              <w:rPr>
                <w:color w:val="0070C0"/>
                <w:sz w:val="21"/>
                <w:szCs w:val="21"/>
                <w:lang w:eastAsia="zh-CN"/>
              </w:rPr>
              <w:t>behavior</w:t>
            </w:r>
            <w:proofErr w:type="spellEnd"/>
            <w:r w:rsidRPr="00DA19D0">
              <w:rPr>
                <w:color w:val="0070C0"/>
                <w:sz w:val="21"/>
                <w:szCs w:val="21"/>
                <w:lang w:eastAsia="zh-CN"/>
              </w:rPr>
              <w:t xml:space="preserve"> is important and needs to be specified if UL-MIMO is expected to be used together with those features. By doing so, the network and UE can be coordinated.</w:t>
            </w:r>
          </w:p>
          <w:p w14:paraId="4BAC7C0F" w14:textId="28487D5E" w:rsidR="00DA19D0" w:rsidRPr="00DA19D0" w:rsidRDefault="00DA19D0" w:rsidP="00DA19D0">
            <w:pPr>
              <w:spacing w:beforeLines="50" w:before="120" w:afterLines="50" w:after="120"/>
              <w:rPr>
                <w:rFonts w:eastAsia="Times New Roman"/>
                <w:color w:val="0070C0"/>
                <w:szCs w:val="24"/>
                <w:lang w:eastAsia="zh-CN"/>
              </w:rPr>
            </w:pPr>
            <w:r>
              <w:rPr>
                <w:lang w:val="en-US"/>
              </w:rPr>
              <w:fldChar w:fldCharType="begin"/>
            </w:r>
            <w:r>
              <w:rPr>
                <w:lang w:val="en-US"/>
              </w:rPr>
              <w:instrText xml:space="preserve"> REF _Ref20739577 \r \h </w:instrText>
            </w:r>
            <w:r>
              <w:rPr>
                <w:lang w:val="en-US"/>
              </w:rPr>
            </w:r>
            <w:r>
              <w:rPr>
                <w:lang w:val="en-US"/>
              </w:rPr>
              <w:fldChar w:fldCharType="separate"/>
            </w:r>
            <w:r w:rsidR="00DA126A">
              <w:rPr>
                <w:lang w:val="en-US"/>
              </w:rPr>
              <w:t>[2]</w:t>
            </w:r>
            <w:r>
              <w:rPr>
                <w:lang w:val="en-US"/>
              </w:rPr>
              <w:fldChar w:fldCharType="end"/>
            </w:r>
          </w:p>
        </w:tc>
      </w:tr>
    </w:tbl>
    <w:p w14:paraId="2910B558" w14:textId="76ED143F" w:rsidR="00FF4327" w:rsidRDefault="00FF4327" w:rsidP="00617EE8">
      <w:pPr>
        <w:rPr>
          <w:lang w:val="en-US"/>
        </w:rPr>
      </w:pPr>
    </w:p>
    <w:p w14:paraId="002EA9DB" w14:textId="77777777" w:rsidR="00FF4327" w:rsidRDefault="00FF4327">
      <w:pPr>
        <w:overflowPunct/>
        <w:autoSpaceDE/>
        <w:autoSpaceDN/>
        <w:adjustRightInd/>
        <w:spacing w:after="0"/>
        <w:textAlignment w:val="auto"/>
        <w:rPr>
          <w:lang w:val="en-US"/>
        </w:rPr>
      </w:pPr>
      <w:r>
        <w:rPr>
          <w:lang w:val="en-US"/>
        </w:rPr>
        <w:br w:type="page"/>
      </w:r>
    </w:p>
    <w:p w14:paraId="3F95F537" w14:textId="77777777" w:rsidR="00DA19D0" w:rsidRDefault="00DA19D0" w:rsidP="00617EE8">
      <w:pPr>
        <w:rPr>
          <w:lang w:val="en-US"/>
        </w:rPr>
      </w:pPr>
    </w:p>
    <w:p w14:paraId="3B9A9675" w14:textId="661F1744" w:rsidR="00DB0C04" w:rsidRDefault="00DB0C04" w:rsidP="00DB0C04">
      <w:pPr>
        <w:pStyle w:val="Heading1"/>
      </w:pPr>
      <w:r>
        <w:t>Gain potential</w:t>
      </w:r>
    </w:p>
    <w:p w14:paraId="6EE4FD20" w14:textId="56F602B0" w:rsidR="00E853A7" w:rsidRPr="00E853A7" w:rsidRDefault="00D83266" w:rsidP="00E853A7">
      <w:r>
        <w:t xml:space="preserve">Let us assume </w:t>
      </w:r>
      <w:r w:rsidR="00E853A7">
        <w:t xml:space="preserve">a 15 kHz SCS lower band FDD (e.g. 2.1 GHz) and a 30 kHz SCS higher band TDD (e.g. 3.5 GHz) operating a 5 </w:t>
      </w:r>
      <w:proofErr w:type="spellStart"/>
      <w:r w:rsidR="00E853A7">
        <w:t>ms</w:t>
      </w:r>
      <w:proofErr w:type="spellEnd"/>
      <w:r w:rsidR="00E853A7">
        <w:t xml:space="preserve"> DDDSUDDSU TDD pattern with 10:2:2 switching slot. Figure 1 illustrates the reference case and figure 2 the Tx switched case assuming 35 us switching time.</w:t>
      </w:r>
    </w:p>
    <w:p w14:paraId="649227DB" w14:textId="1448FFDF" w:rsidR="00DB0C04" w:rsidRDefault="00E853A7" w:rsidP="00FF4327">
      <w:pPr>
        <w:spacing w:after="0"/>
        <w:rPr>
          <w:lang w:val="en-US"/>
        </w:rPr>
      </w:pPr>
      <w:r w:rsidRPr="00E853A7">
        <w:rPr>
          <w:noProof/>
        </w:rPr>
        <w:drawing>
          <wp:inline distT="0" distB="0" distL="0" distR="0" wp14:anchorId="1453A759" wp14:editId="051D6ADF">
            <wp:extent cx="6120765" cy="71247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712470"/>
                    </a:xfrm>
                    <a:prstGeom prst="rect">
                      <a:avLst/>
                    </a:prstGeom>
                    <a:noFill/>
                    <a:ln>
                      <a:noFill/>
                    </a:ln>
                  </pic:spPr>
                </pic:pic>
              </a:graphicData>
            </a:graphic>
          </wp:inline>
        </w:drawing>
      </w:r>
    </w:p>
    <w:p w14:paraId="50467A7D" w14:textId="098ED573" w:rsidR="00E853A7" w:rsidRDefault="00E853A7" w:rsidP="00E853A7">
      <w:pPr>
        <w:pStyle w:val="Caption"/>
        <w:jc w:val="center"/>
      </w:pPr>
      <w:r>
        <w:t xml:space="preserve">Figure </w:t>
      </w:r>
      <w:r>
        <w:fldChar w:fldCharType="begin"/>
      </w:r>
      <w:r>
        <w:instrText xml:space="preserve"> SEQ Figure \* ARABIC </w:instrText>
      </w:r>
      <w:r>
        <w:fldChar w:fldCharType="separate"/>
      </w:r>
      <w:r w:rsidR="00DA126A">
        <w:rPr>
          <w:noProof/>
        </w:rPr>
        <w:t>1</w:t>
      </w:r>
      <w:r>
        <w:fldChar w:fldCharType="end"/>
      </w:r>
      <w:r>
        <w:t>: Reference</w:t>
      </w:r>
    </w:p>
    <w:p w14:paraId="4DE38A90" w14:textId="77777777" w:rsidR="00E853A7" w:rsidRPr="00E853A7" w:rsidRDefault="00E853A7" w:rsidP="00617EE8"/>
    <w:p w14:paraId="23D1ED79" w14:textId="49C2F8F9" w:rsidR="00E853A7" w:rsidRDefault="00E853A7" w:rsidP="00FF4327">
      <w:pPr>
        <w:spacing w:after="0"/>
        <w:rPr>
          <w:lang w:val="en-US"/>
        </w:rPr>
      </w:pPr>
      <w:r w:rsidRPr="00E853A7">
        <w:rPr>
          <w:noProof/>
        </w:rPr>
        <w:drawing>
          <wp:inline distT="0" distB="0" distL="0" distR="0" wp14:anchorId="220954B0" wp14:editId="107F38EB">
            <wp:extent cx="6120765" cy="7124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712470"/>
                    </a:xfrm>
                    <a:prstGeom prst="rect">
                      <a:avLst/>
                    </a:prstGeom>
                    <a:noFill/>
                    <a:ln>
                      <a:noFill/>
                    </a:ln>
                  </pic:spPr>
                </pic:pic>
              </a:graphicData>
            </a:graphic>
          </wp:inline>
        </w:drawing>
      </w:r>
    </w:p>
    <w:p w14:paraId="706E6D0D" w14:textId="2404F94C" w:rsidR="00E853A7" w:rsidRDefault="00E853A7" w:rsidP="00E853A7">
      <w:pPr>
        <w:pStyle w:val="Caption"/>
        <w:jc w:val="center"/>
      </w:pPr>
      <w:r>
        <w:t xml:space="preserve">Figure </w:t>
      </w:r>
      <w:r>
        <w:fldChar w:fldCharType="begin"/>
      </w:r>
      <w:r>
        <w:instrText xml:space="preserve"> SEQ Figure \* ARABIC </w:instrText>
      </w:r>
      <w:r>
        <w:fldChar w:fldCharType="separate"/>
      </w:r>
      <w:r w:rsidR="00DA126A">
        <w:rPr>
          <w:noProof/>
        </w:rPr>
        <w:t>2</w:t>
      </w:r>
      <w:r>
        <w:fldChar w:fldCharType="end"/>
      </w:r>
      <w:r>
        <w:t>: Switched behaviour (35 us switching time)</w:t>
      </w:r>
    </w:p>
    <w:p w14:paraId="0558F5D8" w14:textId="55690077" w:rsidR="00E853A7" w:rsidRDefault="00E853A7" w:rsidP="00617EE8"/>
    <w:p w14:paraId="292DDB35" w14:textId="0CF7B3F1" w:rsidR="00011875" w:rsidRDefault="00011875" w:rsidP="00011875">
      <w:pPr>
        <w:pStyle w:val="Caption"/>
        <w:keepNext/>
        <w:jc w:val="center"/>
      </w:pPr>
      <w:r>
        <w:t xml:space="preserve">Table </w:t>
      </w:r>
      <w:r>
        <w:fldChar w:fldCharType="begin"/>
      </w:r>
      <w:r>
        <w:instrText xml:space="preserve"> SEQ Table \* ARABIC </w:instrText>
      </w:r>
      <w:r>
        <w:fldChar w:fldCharType="separate"/>
      </w:r>
      <w:r w:rsidR="00DA126A">
        <w:rPr>
          <w:noProof/>
        </w:rPr>
        <w:t>1</w:t>
      </w:r>
      <w:r>
        <w:fldChar w:fldCharType="end"/>
      </w:r>
      <w:r>
        <w:t>: Characterization of the switched uplink (35 us switching time) with MIMO vs. reference with 1Tx</w:t>
      </w:r>
      <w:r>
        <w:br/>
      </w:r>
      <w:r w:rsidRPr="00011875">
        <w:rPr>
          <w:b w:val="0"/>
        </w:rPr>
        <w:t>FDD: 15 kHz SCS, TDD: 30 kHz SCS, pattern DDDSUDDSU (S=10:2:2)</w:t>
      </w:r>
    </w:p>
    <w:tbl>
      <w:tblPr>
        <w:tblStyle w:val="TableGrid"/>
        <w:tblW w:w="0" w:type="auto"/>
        <w:tblLook w:val="04A0" w:firstRow="1" w:lastRow="0" w:firstColumn="1" w:lastColumn="0" w:noHBand="0" w:noVBand="1"/>
      </w:tblPr>
      <w:tblGrid>
        <w:gridCol w:w="2689"/>
        <w:gridCol w:w="3260"/>
        <w:gridCol w:w="3680"/>
      </w:tblGrid>
      <w:tr w:rsidR="00E853A7" w14:paraId="18609336" w14:textId="77777777" w:rsidTr="00011875">
        <w:tc>
          <w:tcPr>
            <w:tcW w:w="2689" w:type="dxa"/>
            <w:shd w:val="clear" w:color="auto" w:fill="BFBFBF" w:themeFill="background1" w:themeFillShade="BF"/>
          </w:tcPr>
          <w:p w14:paraId="50BBACC0" w14:textId="2F5A5F37" w:rsidR="00011875" w:rsidRPr="00011875" w:rsidRDefault="00011875" w:rsidP="00011875">
            <w:pPr>
              <w:jc w:val="center"/>
              <w:rPr>
                <w:b/>
              </w:rPr>
            </w:pPr>
          </w:p>
        </w:tc>
        <w:tc>
          <w:tcPr>
            <w:tcW w:w="3260" w:type="dxa"/>
            <w:shd w:val="clear" w:color="auto" w:fill="BFBFBF" w:themeFill="background1" w:themeFillShade="BF"/>
          </w:tcPr>
          <w:p w14:paraId="4ADF1226" w14:textId="7FA15DCA" w:rsidR="00E853A7" w:rsidRPr="00011875" w:rsidRDefault="00E853A7" w:rsidP="00011875">
            <w:pPr>
              <w:jc w:val="center"/>
              <w:rPr>
                <w:b/>
              </w:rPr>
            </w:pPr>
            <w:r w:rsidRPr="00011875">
              <w:rPr>
                <w:b/>
              </w:rPr>
              <w:t>Reference</w:t>
            </w:r>
          </w:p>
        </w:tc>
        <w:tc>
          <w:tcPr>
            <w:tcW w:w="3680" w:type="dxa"/>
            <w:shd w:val="clear" w:color="auto" w:fill="BFBFBF" w:themeFill="background1" w:themeFillShade="BF"/>
          </w:tcPr>
          <w:p w14:paraId="6AC811D2" w14:textId="3C116450" w:rsidR="00E853A7" w:rsidRPr="00011875" w:rsidRDefault="00E853A7" w:rsidP="00011875">
            <w:pPr>
              <w:jc w:val="center"/>
              <w:rPr>
                <w:b/>
              </w:rPr>
            </w:pPr>
            <w:r w:rsidRPr="00011875">
              <w:rPr>
                <w:b/>
              </w:rPr>
              <w:t>Switched</w:t>
            </w:r>
            <w:r w:rsidR="00011875" w:rsidRPr="00011875">
              <w:rPr>
                <w:b/>
              </w:rPr>
              <w:t xml:space="preserve"> </w:t>
            </w:r>
            <w:r w:rsidRPr="00011875">
              <w:rPr>
                <w:b/>
              </w:rPr>
              <w:t>uplink</w:t>
            </w:r>
          </w:p>
        </w:tc>
      </w:tr>
      <w:tr w:rsidR="00E853A7" w14:paraId="5A9026BB" w14:textId="77777777" w:rsidTr="00011875">
        <w:tc>
          <w:tcPr>
            <w:tcW w:w="2689" w:type="dxa"/>
          </w:tcPr>
          <w:p w14:paraId="4BFC4413" w14:textId="55B036AC" w:rsidR="00E853A7" w:rsidRPr="00011875" w:rsidRDefault="00011875" w:rsidP="00617EE8">
            <w:pPr>
              <w:rPr>
                <w:b/>
              </w:rPr>
            </w:pPr>
            <w:r w:rsidRPr="00011875">
              <w:rPr>
                <w:b/>
              </w:rPr>
              <w:t>FDD Uplink @15 kHz SCS</w:t>
            </w:r>
          </w:p>
        </w:tc>
        <w:tc>
          <w:tcPr>
            <w:tcW w:w="3260" w:type="dxa"/>
          </w:tcPr>
          <w:p w14:paraId="27CC755B" w14:textId="5D27B32E" w:rsidR="00E853A7" w:rsidRDefault="00011875" w:rsidP="00617EE8">
            <w:r>
              <w:t xml:space="preserve">70 symbols / 5 </w:t>
            </w:r>
            <w:proofErr w:type="spellStart"/>
            <w:r>
              <w:t>ms</w:t>
            </w:r>
            <w:proofErr w:type="spellEnd"/>
          </w:p>
        </w:tc>
        <w:tc>
          <w:tcPr>
            <w:tcW w:w="3680" w:type="dxa"/>
          </w:tcPr>
          <w:p w14:paraId="69BEDF79" w14:textId="46AC4DE0" w:rsidR="00E853A7" w:rsidRDefault="00011875" w:rsidP="00617EE8">
            <w:r>
              <w:t xml:space="preserve">43 symbols / 5 </w:t>
            </w:r>
            <w:proofErr w:type="spellStart"/>
            <w:r>
              <w:t>ms</w:t>
            </w:r>
            <w:proofErr w:type="spellEnd"/>
          </w:p>
        </w:tc>
      </w:tr>
      <w:tr w:rsidR="00E853A7" w14:paraId="2BC7CEFF" w14:textId="77777777" w:rsidTr="00011875">
        <w:tc>
          <w:tcPr>
            <w:tcW w:w="2689" w:type="dxa"/>
          </w:tcPr>
          <w:p w14:paraId="672AC4D9" w14:textId="1297A2C4" w:rsidR="00E853A7" w:rsidRPr="00011875" w:rsidRDefault="00011875" w:rsidP="00617EE8">
            <w:pPr>
              <w:rPr>
                <w:b/>
              </w:rPr>
            </w:pPr>
            <w:r>
              <w:rPr>
                <w:b/>
              </w:rPr>
              <w:t>TDD uplink @30 kHz SCS</w:t>
            </w:r>
          </w:p>
        </w:tc>
        <w:tc>
          <w:tcPr>
            <w:tcW w:w="3260" w:type="dxa"/>
          </w:tcPr>
          <w:p w14:paraId="6ECEAEC4" w14:textId="660C096D" w:rsidR="00011875" w:rsidRDefault="00011875" w:rsidP="00617EE8">
            <w:r>
              <w:t xml:space="preserve">PUSCH max 42 symbols / 5 </w:t>
            </w:r>
            <w:proofErr w:type="spellStart"/>
            <w:r>
              <w:t>ms</w:t>
            </w:r>
            <w:proofErr w:type="spellEnd"/>
            <w:r>
              <w:t xml:space="preserve">, </w:t>
            </w:r>
            <w:r w:rsidRPr="00011875">
              <w:rPr>
                <w:color w:val="FF0000"/>
              </w:rPr>
              <w:t>1</w:t>
            </w:r>
            <w:proofErr w:type="gramStart"/>
            <w:r w:rsidRPr="00011875">
              <w:rPr>
                <w:color w:val="FF0000"/>
              </w:rPr>
              <w:t>Tx</w:t>
            </w:r>
            <w:r>
              <w:rPr>
                <w:color w:val="FF0000"/>
              </w:rPr>
              <w:t xml:space="preserve"> </w:t>
            </w:r>
            <w:r>
              <w:t xml:space="preserve"> PUCCH</w:t>
            </w:r>
            <w:proofErr w:type="gramEnd"/>
            <w:r>
              <w:t>: 2x2 symbols</w:t>
            </w:r>
          </w:p>
        </w:tc>
        <w:tc>
          <w:tcPr>
            <w:tcW w:w="3680" w:type="dxa"/>
          </w:tcPr>
          <w:p w14:paraId="0A1391AA" w14:textId="03C6B2FC" w:rsidR="00E853A7" w:rsidRDefault="00011875" w:rsidP="00617EE8">
            <w:r>
              <w:t xml:space="preserve">PUSCH 42 symbols / 5 </w:t>
            </w:r>
            <w:proofErr w:type="spellStart"/>
            <w:r>
              <w:t>ms</w:t>
            </w:r>
            <w:proofErr w:type="spellEnd"/>
            <w:r>
              <w:t xml:space="preserve">, </w:t>
            </w:r>
            <w:r w:rsidRPr="00011875">
              <w:rPr>
                <w:color w:val="FF0000"/>
              </w:rPr>
              <w:t>2Tx MIMO</w:t>
            </w:r>
            <w:r>
              <w:rPr>
                <w:color w:val="FF0000"/>
              </w:rPr>
              <w:t xml:space="preserve"> </w:t>
            </w:r>
            <w:r>
              <w:t>PUCCH: 2x2 symbols</w:t>
            </w:r>
          </w:p>
        </w:tc>
      </w:tr>
    </w:tbl>
    <w:p w14:paraId="3843B630" w14:textId="3903931A" w:rsidR="00E853A7" w:rsidRDefault="00E853A7" w:rsidP="00617EE8"/>
    <w:p w14:paraId="592F2948" w14:textId="4A21F81C" w:rsidR="00011875" w:rsidRDefault="00011875" w:rsidP="00617EE8">
      <w:r>
        <w:t xml:space="preserve">As the switched uplink takes the transmitter away from the coverage carrier, the feature is </w:t>
      </w:r>
      <w:r w:rsidR="00D83266">
        <w:t>un</w:t>
      </w:r>
      <w:r>
        <w:t xml:space="preserve">likely </w:t>
      </w:r>
      <w:r w:rsidR="00D83266">
        <w:t xml:space="preserve">to be </w:t>
      </w:r>
      <w:r>
        <w:t>helpful at the cell edge</w:t>
      </w:r>
      <w:r w:rsidR="00FF4327">
        <w:t xml:space="preserve">, </w:t>
      </w:r>
      <w:r w:rsidR="00D83266">
        <w:t xml:space="preserve">and hence </w:t>
      </w:r>
      <w:r w:rsidR="00FF4327">
        <w:t xml:space="preserve">the gain potential </w:t>
      </w:r>
      <w:r w:rsidR="00D83266">
        <w:t>is limited to</w:t>
      </w:r>
      <w:r w:rsidR="00FF4327">
        <w:t xml:space="preserve"> the good link conditions where the MIMO gain on the TDD carrier should be able to more than compensate for the loss of the uplink symbols on the FDD carrier</w:t>
      </w:r>
    </w:p>
    <w:p w14:paraId="31DDA41F" w14:textId="357DB88C" w:rsidR="00FF4327" w:rsidRPr="00FF4327" w:rsidRDefault="00FF4327" w:rsidP="00617EE8">
      <w:r>
        <w:rPr>
          <w:b/>
        </w:rPr>
        <w:t>Observation 1</w:t>
      </w:r>
      <w:r>
        <w:t>: the gain potential is at good link conditions where the MIMO gain on the TDD carrier should be able to more than compensate for the loss of the uplink symbols on the FDD carrier</w:t>
      </w:r>
    </w:p>
    <w:p w14:paraId="27A5A7AB" w14:textId="658684FB" w:rsidR="00712667" w:rsidRDefault="000B4A63" w:rsidP="00712667">
      <w:pPr>
        <w:pStyle w:val="Heading1"/>
      </w:pPr>
      <w:r>
        <w:t>S</w:t>
      </w:r>
      <w:r w:rsidR="00712667">
        <w:t>witching</w:t>
      </w:r>
      <w:r>
        <w:t xml:space="preserve"> aspects RAN1 should consider</w:t>
      </w:r>
    </w:p>
    <w:p w14:paraId="191E075E" w14:textId="265FBDA4" w:rsidR="00712667" w:rsidRDefault="00712667" w:rsidP="00FF4327">
      <w:pPr>
        <w:spacing w:after="0"/>
        <w:rPr>
          <w:lang w:val="en-US"/>
        </w:rPr>
      </w:pPr>
      <w:r>
        <w:rPr>
          <w:lang w:val="en-US"/>
        </w:rPr>
        <w:t xml:space="preserve">The WID update gives RAN1 the following </w:t>
      </w:r>
      <w:proofErr w:type="spellStart"/>
      <w:r>
        <w:rPr>
          <w:lang w:val="en-US"/>
        </w:rPr>
        <w:t>guidalines</w:t>
      </w:r>
      <w:proofErr w:type="spellEnd"/>
      <w:r>
        <w:rPr>
          <w:lang w:val="en-US"/>
        </w:rPr>
        <w:t>:</w:t>
      </w:r>
    </w:p>
    <w:p w14:paraId="04252494" w14:textId="77777777" w:rsidR="00712667" w:rsidRPr="00C617C8" w:rsidRDefault="00712667" w:rsidP="00712667">
      <w:pPr>
        <w:numPr>
          <w:ilvl w:val="0"/>
          <w:numId w:val="37"/>
        </w:numPr>
        <w:autoSpaceDE/>
        <w:autoSpaceDN/>
        <w:adjustRightInd/>
        <w:spacing w:after="0"/>
        <w:textAlignment w:val="auto"/>
        <w:rPr>
          <w:color w:val="0070C0"/>
          <w:lang w:val="en-US" w:eastAsia="zh-CN"/>
        </w:rPr>
      </w:pPr>
      <w:r w:rsidRPr="00C617C8">
        <w:rPr>
          <w:color w:val="0070C0"/>
          <w:kern w:val="24"/>
          <w:lang w:val="en-US" w:eastAsia="zh-CN"/>
        </w:rPr>
        <w:t xml:space="preserve">No new TDM pattern will be defined, i.e. scheduling-based switching is assumed. </w:t>
      </w:r>
    </w:p>
    <w:p w14:paraId="1FF8F9E4" w14:textId="77777777" w:rsidR="00712667" w:rsidRPr="00C617C8" w:rsidRDefault="00712667" w:rsidP="00712667">
      <w:pPr>
        <w:numPr>
          <w:ilvl w:val="0"/>
          <w:numId w:val="37"/>
        </w:numPr>
        <w:autoSpaceDE/>
        <w:autoSpaceDN/>
        <w:adjustRightInd/>
        <w:spacing w:after="0"/>
        <w:textAlignment w:val="auto"/>
        <w:rPr>
          <w:color w:val="0070C0"/>
          <w:lang w:val="en-US" w:eastAsia="zh-CN"/>
        </w:rPr>
      </w:pPr>
      <w:r w:rsidRPr="00C617C8">
        <w:rPr>
          <w:color w:val="0070C0"/>
          <w:kern w:val="24"/>
          <w:lang w:val="en-US" w:eastAsia="zh-CN"/>
        </w:rPr>
        <w:t xml:space="preserve">Finalization of RAN4 requirements and approval of RAN4 CRs shall be based on RAN1 LS  </w:t>
      </w:r>
    </w:p>
    <w:p w14:paraId="2D97552E" w14:textId="77777777" w:rsidR="00712667" w:rsidRPr="00C617C8" w:rsidRDefault="00712667" w:rsidP="00712667">
      <w:pPr>
        <w:numPr>
          <w:ilvl w:val="0"/>
          <w:numId w:val="37"/>
        </w:numPr>
        <w:autoSpaceDE/>
        <w:autoSpaceDN/>
        <w:adjustRightInd/>
        <w:spacing w:after="0"/>
        <w:textAlignment w:val="auto"/>
        <w:rPr>
          <w:color w:val="0070C0"/>
          <w:lang w:val="en-US" w:eastAsia="zh-CN"/>
        </w:rPr>
      </w:pPr>
      <w:r w:rsidRPr="00C617C8">
        <w:rPr>
          <w:color w:val="0070C0"/>
          <w:kern w:val="24"/>
          <w:lang w:val="en-US" w:eastAsia="zh-CN"/>
        </w:rPr>
        <w:t xml:space="preserve">Strive to minimize RAN1 impact. </w:t>
      </w:r>
    </w:p>
    <w:p w14:paraId="21AB85C7" w14:textId="77777777" w:rsidR="00712667" w:rsidRPr="00C617C8" w:rsidRDefault="00712667" w:rsidP="00712667">
      <w:pPr>
        <w:numPr>
          <w:ilvl w:val="0"/>
          <w:numId w:val="37"/>
        </w:numPr>
        <w:autoSpaceDE/>
        <w:autoSpaceDN/>
        <w:adjustRightInd/>
        <w:spacing w:after="0"/>
        <w:textAlignment w:val="auto"/>
        <w:rPr>
          <w:color w:val="0070C0"/>
          <w:lang w:val="en-US" w:eastAsia="zh-CN"/>
        </w:rPr>
      </w:pPr>
      <w:r w:rsidRPr="00C617C8">
        <w:rPr>
          <w:color w:val="0070C0"/>
          <w:kern w:val="24"/>
          <w:lang w:val="en-US" w:eastAsia="zh-CN"/>
        </w:rPr>
        <w:t xml:space="preserve">Strive to achieve no impact to RAN1 E-UTRAN spec </w:t>
      </w:r>
    </w:p>
    <w:p w14:paraId="4C37E262" w14:textId="77777777" w:rsidR="00712667" w:rsidRPr="00C617C8" w:rsidRDefault="00712667" w:rsidP="00712667">
      <w:pPr>
        <w:numPr>
          <w:ilvl w:val="0"/>
          <w:numId w:val="37"/>
        </w:numPr>
        <w:autoSpaceDE/>
        <w:autoSpaceDN/>
        <w:adjustRightInd/>
        <w:spacing w:after="0"/>
        <w:textAlignment w:val="auto"/>
        <w:rPr>
          <w:color w:val="0070C0"/>
          <w:lang w:val="en-US" w:eastAsia="zh-CN"/>
        </w:rPr>
      </w:pPr>
      <w:r w:rsidRPr="00C617C8">
        <w:rPr>
          <w:color w:val="0070C0"/>
          <w:kern w:val="24"/>
          <w:lang w:val="en-US" w:eastAsia="zh-CN"/>
        </w:rPr>
        <w:t xml:space="preserve">Strive to avoid defining location of switching period impacting RAN1 spec </w:t>
      </w:r>
    </w:p>
    <w:p w14:paraId="7D25C9AE" w14:textId="1438201E" w:rsidR="00DB0C04" w:rsidRDefault="00712667" w:rsidP="00FF4327">
      <w:pPr>
        <w:spacing w:before="240"/>
        <w:rPr>
          <w:lang w:val="en-US"/>
        </w:rPr>
      </w:pPr>
      <w:r>
        <w:rPr>
          <w:lang w:val="en-US"/>
        </w:rPr>
        <w:t xml:space="preserve">This </w:t>
      </w:r>
      <w:proofErr w:type="gramStart"/>
      <w:r>
        <w:rPr>
          <w:lang w:val="en-US"/>
        </w:rPr>
        <w:t>opens up</w:t>
      </w:r>
      <w:proofErr w:type="gramEnd"/>
      <w:r>
        <w:rPr>
          <w:lang w:val="en-US"/>
        </w:rPr>
        <w:t xml:space="preserve"> </w:t>
      </w:r>
      <w:r w:rsidR="00DB0C04">
        <w:rPr>
          <w:lang w:val="en-US"/>
        </w:rPr>
        <w:t xml:space="preserve">a number of questions related to </w:t>
      </w:r>
      <w:proofErr w:type="spellStart"/>
      <w:r w:rsidR="00DB0C04">
        <w:rPr>
          <w:lang w:val="en-US"/>
        </w:rPr>
        <w:t>swithing</w:t>
      </w:r>
      <w:proofErr w:type="spellEnd"/>
      <w:r w:rsidR="00DB0C04">
        <w:rPr>
          <w:lang w:val="en-US"/>
        </w:rPr>
        <w:t xml:space="preserve"> time and operating timeline that need to be met for the feature to have any gain potential, as well as on operational principles so that the network knows </w:t>
      </w:r>
      <w:r w:rsidR="00D83266">
        <w:rPr>
          <w:lang w:val="en-US"/>
        </w:rPr>
        <w:t>how to manage</w:t>
      </w:r>
      <w:r w:rsidR="00DB0C04">
        <w:rPr>
          <w:lang w:val="en-US"/>
        </w:rPr>
        <w:t xml:space="preserve"> the UE indicating this capability.</w:t>
      </w:r>
      <w:r w:rsidR="00FF4327">
        <w:rPr>
          <w:lang w:val="en-US"/>
        </w:rPr>
        <w:t xml:space="preserve"> These are looked at in the following subsections.</w:t>
      </w:r>
    </w:p>
    <w:p w14:paraId="46B98D4F" w14:textId="4834DF7D" w:rsidR="004D6E25" w:rsidRPr="006676BF" w:rsidRDefault="00FF4327" w:rsidP="004D6E25">
      <w:r>
        <w:rPr>
          <w:b/>
        </w:rPr>
        <w:t xml:space="preserve">Note: </w:t>
      </w:r>
      <w:r w:rsidR="004D6E25">
        <w:rPr>
          <w:b/>
        </w:rPr>
        <w:t>I</w:t>
      </w:r>
      <w:r w:rsidR="006676BF">
        <w:rPr>
          <w:b/>
        </w:rPr>
        <w:t>n this document</w:t>
      </w:r>
      <w:r w:rsidR="004D6E25">
        <w:rPr>
          <w:b/>
        </w:rPr>
        <w:t xml:space="preserve"> the FDD and TDD are used for simplicity, but the operation </w:t>
      </w:r>
      <w:r w:rsidR="00AA4B6A">
        <w:rPr>
          <w:b/>
        </w:rPr>
        <w:t>could</w:t>
      </w:r>
      <w:r w:rsidR="004D6E25">
        <w:rPr>
          <w:b/>
        </w:rPr>
        <w:t xml:space="preserve"> be generalized for </w:t>
      </w:r>
      <w:r w:rsidR="006676BF">
        <w:rPr>
          <w:b/>
        </w:rPr>
        <w:t>two FDD carriers</w:t>
      </w:r>
      <w:r w:rsidR="00D83266">
        <w:rPr>
          <w:b/>
        </w:rPr>
        <w:t xml:space="preserve"> as well.</w:t>
      </w:r>
    </w:p>
    <w:p w14:paraId="7DB35E87" w14:textId="4E0E4A27" w:rsidR="00243398" w:rsidRDefault="00D2132A" w:rsidP="00BC07BB">
      <w:pPr>
        <w:pStyle w:val="Heading2"/>
        <w:rPr>
          <w:lang w:val="en-US"/>
        </w:rPr>
      </w:pPr>
      <w:r>
        <w:rPr>
          <w:lang w:val="en-US"/>
        </w:rPr>
        <w:lastRenderedPageBreak/>
        <w:t>S</w:t>
      </w:r>
      <w:r w:rsidR="00BC07BB">
        <w:rPr>
          <w:lang w:val="en-US"/>
        </w:rPr>
        <w:t>witching time</w:t>
      </w:r>
    </w:p>
    <w:p w14:paraId="7CF90341" w14:textId="2586CA71" w:rsidR="00BC07BB" w:rsidRDefault="00BC07BB" w:rsidP="00BC07BB">
      <w:pPr>
        <w:rPr>
          <w:lang w:val="en-US"/>
        </w:rPr>
      </w:pPr>
      <w:r>
        <w:rPr>
          <w:lang w:val="en-US"/>
        </w:rPr>
        <w:t xml:space="preserve">RAN4 discussion outcome and the subsequent RAN </w:t>
      </w:r>
      <w:proofErr w:type="spellStart"/>
      <w:r>
        <w:rPr>
          <w:lang w:val="en-US"/>
        </w:rPr>
        <w:t>Tdoc</w:t>
      </w:r>
      <w:proofErr w:type="spellEnd"/>
      <w:r>
        <w:rPr>
          <w:lang w:val="en-US"/>
        </w:rPr>
        <w:t xml:space="preserve"> </w:t>
      </w:r>
      <w:r>
        <w:rPr>
          <w:lang w:val="en-US"/>
        </w:rPr>
        <w:fldChar w:fldCharType="begin"/>
      </w:r>
      <w:r>
        <w:rPr>
          <w:lang w:val="en-US"/>
        </w:rPr>
        <w:instrText xml:space="preserve"> REF _Ref20742732 \r \h </w:instrText>
      </w:r>
      <w:r>
        <w:rPr>
          <w:lang w:val="en-US"/>
        </w:rPr>
      </w:r>
      <w:r>
        <w:rPr>
          <w:lang w:val="en-US"/>
        </w:rPr>
        <w:fldChar w:fldCharType="separate"/>
      </w:r>
      <w:r w:rsidR="00DA126A">
        <w:rPr>
          <w:lang w:val="en-US"/>
        </w:rPr>
        <w:t>[4]</w:t>
      </w:r>
      <w:r>
        <w:rPr>
          <w:lang w:val="en-US"/>
        </w:rPr>
        <w:fldChar w:fldCharType="end"/>
      </w:r>
      <w:r>
        <w:rPr>
          <w:lang w:val="en-US"/>
        </w:rPr>
        <w:fldChar w:fldCharType="begin"/>
      </w:r>
      <w:r>
        <w:rPr>
          <w:lang w:val="en-US"/>
        </w:rPr>
        <w:instrText xml:space="preserve"> REF _Ref20739580 \r \h </w:instrText>
      </w:r>
      <w:r>
        <w:rPr>
          <w:lang w:val="en-US"/>
        </w:rPr>
      </w:r>
      <w:r>
        <w:rPr>
          <w:lang w:val="en-US"/>
        </w:rPr>
        <w:fldChar w:fldCharType="separate"/>
      </w:r>
      <w:r w:rsidR="00DA126A">
        <w:rPr>
          <w:lang w:val="en-US"/>
        </w:rPr>
        <w:t>[3]</w:t>
      </w:r>
      <w:r>
        <w:rPr>
          <w:lang w:val="en-US"/>
        </w:rPr>
        <w:fldChar w:fldCharType="end"/>
      </w:r>
      <w:r>
        <w:rPr>
          <w:lang w:val="en-US"/>
        </w:rPr>
        <w:t xml:space="preserve"> outline </w:t>
      </w:r>
      <w:r w:rsidR="00E957EB">
        <w:rPr>
          <w:lang w:val="en-US"/>
        </w:rPr>
        <w:t xml:space="preserve">the </w:t>
      </w:r>
      <w:r>
        <w:rPr>
          <w:lang w:val="en-US"/>
        </w:rPr>
        <w:t>different switching times proposed:</w:t>
      </w:r>
    </w:p>
    <w:tbl>
      <w:tblPr>
        <w:tblStyle w:val="TableGrid"/>
        <w:tblW w:w="0" w:type="auto"/>
        <w:tblLook w:val="04A0" w:firstRow="1" w:lastRow="0" w:firstColumn="1" w:lastColumn="0" w:noHBand="0" w:noVBand="1"/>
      </w:tblPr>
      <w:tblGrid>
        <w:gridCol w:w="9629"/>
      </w:tblGrid>
      <w:tr w:rsidR="007D0715" w14:paraId="661FD452" w14:textId="77777777" w:rsidTr="007D0715">
        <w:tc>
          <w:tcPr>
            <w:tcW w:w="9629" w:type="dxa"/>
          </w:tcPr>
          <w:p w14:paraId="4BBDE872" w14:textId="77777777" w:rsidR="007D0715" w:rsidRPr="007D0715" w:rsidRDefault="007D0715" w:rsidP="007D0715">
            <w:pPr>
              <w:numPr>
                <w:ilvl w:val="0"/>
                <w:numId w:val="40"/>
              </w:numPr>
              <w:spacing w:after="0"/>
              <w:rPr>
                <w:b/>
                <w:color w:val="0070C0"/>
                <w:lang w:val="en-US"/>
              </w:rPr>
            </w:pPr>
            <w:r w:rsidRPr="007D0715">
              <w:rPr>
                <w:b/>
                <w:color w:val="0070C0"/>
                <w:lang w:val="en-US"/>
              </w:rPr>
              <w:t>~0 us switching period:</w:t>
            </w:r>
          </w:p>
          <w:p w14:paraId="4F8B4005" w14:textId="77777777" w:rsidR="007D0715" w:rsidRPr="007D0715" w:rsidRDefault="007D0715" w:rsidP="007D0715">
            <w:pPr>
              <w:numPr>
                <w:ilvl w:val="1"/>
                <w:numId w:val="40"/>
              </w:numPr>
              <w:spacing w:after="0"/>
              <w:rPr>
                <w:color w:val="0070C0"/>
                <w:lang w:val="en-US"/>
              </w:rPr>
            </w:pPr>
            <w:r w:rsidRPr="007D0715">
              <w:rPr>
                <w:color w:val="0070C0"/>
              </w:rPr>
              <w:t xml:space="preserve">Implementation 1: </w:t>
            </w:r>
            <w:r w:rsidRPr="007D0715">
              <w:rPr>
                <w:color w:val="0070C0"/>
                <w:lang w:val="en-US"/>
              </w:rPr>
              <w:t xml:space="preserve">3 transmitters, 3 PAs, 3 independent power suppliers </w:t>
            </w:r>
          </w:p>
          <w:p w14:paraId="2C23DB28" w14:textId="77777777" w:rsidR="007D0715" w:rsidRPr="007D0715" w:rsidRDefault="007D0715" w:rsidP="007D0715">
            <w:pPr>
              <w:numPr>
                <w:ilvl w:val="0"/>
                <w:numId w:val="40"/>
              </w:numPr>
              <w:spacing w:after="0"/>
              <w:rPr>
                <w:b/>
                <w:color w:val="0070C0"/>
                <w:lang w:val="en-US"/>
              </w:rPr>
            </w:pPr>
            <w:r w:rsidRPr="007D0715">
              <w:rPr>
                <w:b/>
                <w:color w:val="0070C0"/>
                <w:lang w:val="en-US"/>
              </w:rPr>
              <w:t>35 us switching period:</w:t>
            </w:r>
          </w:p>
          <w:p w14:paraId="769B511D" w14:textId="77777777" w:rsidR="007D0715" w:rsidRPr="007D0715" w:rsidRDefault="007D0715" w:rsidP="007D0715">
            <w:pPr>
              <w:numPr>
                <w:ilvl w:val="1"/>
                <w:numId w:val="40"/>
              </w:numPr>
              <w:spacing w:after="0"/>
              <w:rPr>
                <w:color w:val="0070C0"/>
                <w:lang w:val="en-US"/>
              </w:rPr>
            </w:pPr>
            <w:r w:rsidRPr="007D0715">
              <w:rPr>
                <w:color w:val="0070C0"/>
              </w:rPr>
              <w:t>Implementation 1: Switch of the connections for the shared components, e.g., PLL, power supplier, PA module, filter, switch, etc.</w:t>
            </w:r>
          </w:p>
          <w:p w14:paraId="3F83BF98" w14:textId="77777777" w:rsidR="007D0715" w:rsidRPr="007D0715" w:rsidRDefault="007D0715" w:rsidP="007D0715">
            <w:pPr>
              <w:numPr>
                <w:ilvl w:val="0"/>
                <w:numId w:val="40"/>
              </w:numPr>
              <w:spacing w:after="0"/>
              <w:rPr>
                <w:b/>
                <w:color w:val="0070C0"/>
                <w:lang w:val="en-US"/>
              </w:rPr>
            </w:pPr>
            <w:r w:rsidRPr="007D0715">
              <w:rPr>
                <w:b/>
                <w:color w:val="0070C0"/>
                <w:lang w:val="en-US"/>
              </w:rPr>
              <w:t>140 us switching period:</w:t>
            </w:r>
          </w:p>
          <w:p w14:paraId="3C5A0003" w14:textId="77777777" w:rsidR="007D0715" w:rsidRPr="007D0715" w:rsidRDefault="007D0715" w:rsidP="007D0715">
            <w:pPr>
              <w:numPr>
                <w:ilvl w:val="1"/>
                <w:numId w:val="40"/>
              </w:numPr>
              <w:spacing w:after="0"/>
              <w:rPr>
                <w:color w:val="0070C0"/>
                <w:lang w:val="en-US"/>
              </w:rPr>
            </w:pPr>
            <w:r w:rsidRPr="007D0715">
              <w:rPr>
                <w:color w:val="0070C0"/>
              </w:rPr>
              <w:t xml:space="preserve">Implementation 1: </w:t>
            </w:r>
            <w:r w:rsidRPr="007D0715">
              <w:rPr>
                <w:color w:val="0070C0"/>
                <w:lang w:val="en-US"/>
              </w:rPr>
              <w:t>PLL relocking and PA switching</w:t>
            </w:r>
          </w:p>
          <w:p w14:paraId="63BF4C1A" w14:textId="77777777" w:rsidR="007D0715" w:rsidRPr="007D0715" w:rsidRDefault="007D0715" w:rsidP="007D0715">
            <w:pPr>
              <w:numPr>
                <w:ilvl w:val="1"/>
                <w:numId w:val="40"/>
              </w:numPr>
              <w:spacing w:after="0"/>
              <w:rPr>
                <w:color w:val="0070C0"/>
                <w:lang w:val="en-US"/>
              </w:rPr>
            </w:pPr>
            <w:r w:rsidRPr="007D0715">
              <w:rPr>
                <w:color w:val="0070C0"/>
              </w:rPr>
              <w:t xml:space="preserve">Implementation 2:  </w:t>
            </w:r>
            <w:r w:rsidRPr="007D0715">
              <w:rPr>
                <w:color w:val="0070C0"/>
                <w:lang w:val="en-US"/>
              </w:rPr>
              <w:t>3 PAs with 2 ETs</w:t>
            </w:r>
          </w:p>
          <w:p w14:paraId="3CD7798E" w14:textId="77777777" w:rsidR="007D0715" w:rsidRPr="007D0715" w:rsidRDefault="007D0715" w:rsidP="007D0715">
            <w:pPr>
              <w:numPr>
                <w:ilvl w:val="0"/>
                <w:numId w:val="40"/>
              </w:numPr>
              <w:spacing w:after="0"/>
              <w:rPr>
                <w:b/>
                <w:color w:val="0070C0"/>
                <w:lang w:val="en-US"/>
              </w:rPr>
            </w:pPr>
            <w:r w:rsidRPr="007D0715">
              <w:rPr>
                <w:b/>
                <w:color w:val="0070C0"/>
                <w:lang w:val="en-US"/>
              </w:rPr>
              <w:t>900 us switching period:</w:t>
            </w:r>
          </w:p>
          <w:p w14:paraId="21F599F3" w14:textId="4780E685" w:rsidR="007D0715" w:rsidRPr="007D0715" w:rsidRDefault="007D0715" w:rsidP="007D0715">
            <w:pPr>
              <w:numPr>
                <w:ilvl w:val="1"/>
                <w:numId w:val="40"/>
              </w:numPr>
              <w:spacing w:after="0"/>
              <w:rPr>
                <w:lang w:val="en-US"/>
              </w:rPr>
            </w:pPr>
            <w:r w:rsidRPr="007D0715">
              <w:rPr>
                <w:color w:val="0070C0"/>
              </w:rPr>
              <w:t>Implementation 1:</w:t>
            </w:r>
            <w:r w:rsidRPr="007D0715">
              <w:rPr>
                <w:color w:val="0070C0"/>
                <w:lang w:val="en-US"/>
              </w:rPr>
              <w:t xml:space="preserve"> whole BB and TX chain need to be retuned </w:t>
            </w:r>
          </w:p>
        </w:tc>
      </w:tr>
    </w:tbl>
    <w:p w14:paraId="48908FBA" w14:textId="77777777" w:rsidR="00FF4327" w:rsidRDefault="00FF4327" w:rsidP="00BC07BB">
      <w:pPr>
        <w:rPr>
          <w:lang w:val="en-US"/>
        </w:rPr>
      </w:pPr>
    </w:p>
    <w:p w14:paraId="14BF0777" w14:textId="12F8EEA7" w:rsidR="007D0715" w:rsidRDefault="007D0715" w:rsidP="00BC07BB">
      <w:pPr>
        <w:rPr>
          <w:lang w:val="en-US"/>
        </w:rPr>
      </w:pPr>
      <w:r>
        <w:rPr>
          <w:lang w:val="en-US"/>
        </w:rPr>
        <w:t>The ~0us switching is of course the most desired from the system perspective</w:t>
      </w:r>
      <w:r w:rsidR="00AA4B6A">
        <w:rPr>
          <w:lang w:val="en-US"/>
        </w:rPr>
        <w:t>.</w:t>
      </w:r>
      <w:r w:rsidR="00E83B19">
        <w:rPr>
          <w:lang w:val="en-US"/>
        </w:rPr>
        <w:t xml:space="preserve"> </w:t>
      </w:r>
      <w:r w:rsidR="00AA4B6A">
        <w:rPr>
          <w:lang w:val="en-US"/>
        </w:rPr>
        <w:t>However</w:t>
      </w:r>
      <w:r>
        <w:rPr>
          <w:lang w:val="en-US"/>
        </w:rPr>
        <w:t>, t</w:t>
      </w:r>
      <w:r w:rsidR="00965896">
        <w:rPr>
          <w:lang w:val="en-US"/>
        </w:rPr>
        <w:t>he</w:t>
      </w:r>
      <w:r>
        <w:rPr>
          <w:lang w:val="en-US"/>
        </w:rPr>
        <w:t xml:space="preserve"> implementation </w:t>
      </w:r>
      <w:r w:rsidR="00965896">
        <w:rPr>
          <w:lang w:val="en-US"/>
        </w:rPr>
        <w:t xml:space="preserve">that can reach zero switching needs to support 3 transmitters and thus </w:t>
      </w:r>
      <w:r>
        <w:rPr>
          <w:lang w:val="en-US"/>
        </w:rPr>
        <w:t xml:space="preserve">doesn’t </w:t>
      </w:r>
      <w:proofErr w:type="gramStart"/>
      <w:r w:rsidR="00965896">
        <w:rPr>
          <w:lang w:val="en-US"/>
        </w:rPr>
        <w:t xml:space="preserve">actually </w:t>
      </w:r>
      <w:r>
        <w:rPr>
          <w:lang w:val="en-US"/>
        </w:rPr>
        <w:t>switch</w:t>
      </w:r>
      <w:proofErr w:type="gramEnd"/>
      <w:r>
        <w:rPr>
          <w:lang w:val="en-US"/>
        </w:rPr>
        <w:t xml:space="preserve">, </w:t>
      </w:r>
      <w:r w:rsidR="00965896">
        <w:rPr>
          <w:lang w:val="en-US"/>
        </w:rPr>
        <w:t>and the two carriers can transmit simultaneously without issues if the network chooses to schedule both. For non-zero switching times, f</w:t>
      </w:r>
      <w:r w:rsidR="00965896">
        <w:t xml:space="preserve">or the feature to be beneficial, the TDD uplink must provide much better service than the FDD uplink, hence it appears logical </w:t>
      </w:r>
      <w:r w:rsidR="001D172E">
        <w:t xml:space="preserve">to assume </w:t>
      </w:r>
      <w:r w:rsidR="00965896">
        <w:t>that the FDD uplink absorbs the switching time.</w:t>
      </w:r>
    </w:p>
    <w:p w14:paraId="2BEF5C18" w14:textId="3D550D08" w:rsidR="00C3049E" w:rsidRDefault="007D0715" w:rsidP="00BC07BB">
      <w:pPr>
        <w:rPr>
          <w:lang w:val="en-US"/>
        </w:rPr>
      </w:pPr>
      <w:r>
        <w:rPr>
          <w:lang w:val="en-US"/>
        </w:rPr>
        <w:t xml:space="preserve">The 35 us switching </w:t>
      </w:r>
      <w:r w:rsidR="00C95EEF">
        <w:rPr>
          <w:lang w:val="en-US"/>
        </w:rPr>
        <w:t xml:space="preserve">time </w:t>
      </w:r>
      <w:r>
        <w:rPr>
          <w:lang w:val="en-US"/>
        </w:rPr>
        <w:t xml:space="preserve">implies a loss of 1 symbol at each switching point </w:t>
      </w:r>
      <w:proofErr w:type="gramStart"/>
      <w:r w:rsidR="00252C9B">
        <w:rPr>
          <w:lang w:val="en-US"/>
        </w:rPr>
        <w:t>assuming that</w:t>
      </w:r>
      <w:proofErr w:type="gramEnd"/>
      <w:r w:rsidR="00252C9B">
        <w:rPr>
          <w:lang w:val="en-US"/>
        </w:rPr>
        <w:t xml:space="preserve"> the (15 kHz SCS) FDD uplink absorbs the switch. Assuming</w:t>
      </w:r>
      <w:r w:rsidR="00530492">
        <w:rPr>
          <w:lang w:val="en-US"/>
        </w:rPr>
        <w:t xml:space="preserve"> as below</w:t>
      </w:r>
      <w:r w:rsidR="00252C9B">
        <w:rPr>
          <w:lang w:val="en-US"/>
        </w:rPr>
        <w:t xml:space="preserve"> assuming DDDSUDDSUU pattern with 10:2:2 switching slot for the TDD carrier the FDD has 43/70 (61%) symbols available for the uplink. This is visualized in figure </w:t>
      </w:r>
      <w:r w:rsidR="00167589">
        <w:rPr>
          <w:lang w:val="en-US"/>
        </w:rPr>
        <w:t>3</w:t>
      </w:r>
      <w:r w:rsidR="00252C9B">
        <w:rPr>
          <w:lang w:val="en-US"/>
        </w:rPr>
        <w:t xml:space="preserve"> below.</w:t>
      </w:r>
    </w:p>
    <w:p w14:paraId="388EC2F4" w14:textId="77777777" w:rsidR="00252C9B" w:rsidRDefault="00252C9B" w:rsidP="00252C9B">
      <w:pPr>
        <w:keepNext/>
      </w:pPr>
      <w:r w:rsidRPr="00252C9B">
        <w:rPr>
          <w:noProof/>
        </w:rPr>
        <w:drawing>
          <wp:inline distT="0" distB="0" distL="0" distR="0" wp14:anchorId="1EEC1856" wp14:editId="6D5B5E1B">
            <wp:extent cx="6120765" cy="71310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713105"/>
                    </a:xfrm>
                    <a:prstGeom prst="rect">
                      <a:avLst/>
                    </a:prstGeom>
                    <a:noFill/>
                    <a:ln>
                      <a:noFill/>
                    </a:ln>
                  </pic:spPr>
                </pic:pic>
              </a:graphicData>
            </a:graphic>
          </wp:inline>
        </w:drawing>
      </w:r>
    </w:p>
    <w:p w14:paraId="28D0C6A4" w14:textId="34143E21" w:rsidR="00530492" w:rsidRDefault="00252C9B" w:rsidP="00252C9B">
      <w:pPr>
        <w:pStyle w:val="Caption"/>
        <w:jc w:val="center"/>
      </w:pPr>
      <w:r>
        <w:t xml:space="preserve">Figure </w:t>
      </w:r>
      <w:r>
        <w:fldChar w:fldCharType="begin"/>
      </w:r>
      <w:r>
        <w:instrText xml:space="preserve"> SEQ Figure \* ARABIC </w:instrText>
      </w:r>
      <w:r>
        <w:fldChar w:fldCharType="separate"/>
      </w:r>
      <w:r w:rsidR="00DA126A">
        <w:rPr>
          <w:noProof/>
        </w:rPr>
        <w:t>3</w:t>
      </w:r>
      <w:r>
        <w:fldChar w:fldCharType="end"/>
      </w:r>
      <w:r>
        <w:t>: UL switching impact when FDD UL absorbs the switching gap (35 us switching time)</w:t>
      </w:r>
    </w:p>
    <w:p w14:paraId="3858087E" w14:textId="77777777" w:rsidR="004D6E25" w:rsidRDefault="004D6E25" w:rsidP="004D6E25">
      <w:pPr>
        <w:rPr>
          <w:b/>
        </w:rPr>
      </w:pPr>
    </w:p>
    <w:p w14:paraId="63501B88" w14:textId="2A4F435A" w:rsidR="00252C9B" w:rsidRDefault="00252C9B" w:rsidP="00252C9B">
      <w:pPr>
        <w:rPr>
          <w:lang w:val="en-US"/>
        </w:rPr>
      </w:pPr>
      <w:r>
        <w:rPr>
          <w:lang w:val="en-US"/>
        </w:rPr>
        <w:t xml:space="preserve">The 140 us switching </w:t>
      </w:r>
      <w:r w:rsidR="00C95EEF">
        <w:rPr>
          <w:lang w:val="en-US"/>
        </w:rPr>
        <w:t xml:space="preserve">time </w:t>
      </w:r>
      <w:r>
        <w:rPr>
          <w:lang w:val="en-US"/>
        </w:rPr>
        <w:t xml:space="preserve">implies a loss of 2 symbol at each switching point </w:t>
      </w:r>
      <w:proofErr w:type="gramStart"/>
      <w:r>
        <w:rPr>
          <w:lang w:val="en-US"/>
        </w:rPr>
        <w:t>assuming that</w:t>
      </w:r>
      <w:proofErr w:type="gramEnd"/>
      <w:r>
        <w:rPr>
          <w:lang w:val="en-US"/>
        </w:rPr>
        <w:t xml:space="preserve"> the (15 kHz SCS) FDD uplink absorbs the switch. Assuming as below assuming DDDSUDDSUU pattern with 10:2:2 switching slot for the TDD carrier the FDD has 39/70 (55%) symbols available for the uplink. This is visualized in figure </w:t>
      </w:r>
      <w:r w:rsidR="00167589">
        <w:rPr>
          <w:lang w:val="en-US"/>
        </w:rPr>
        <w:t>4</w:t>
      </w:r>
      <w:r>
        <w:rPr>
          <w:lang w:val="en-US"/>
        </w:rPr>
        <w:t xml:space="preserve"> below.</w:t>
      </w:r>
    </w:p>
    <w:p w14:paraId="63EC5926" w14:textId="07698A92" w:rsidR="0008322B" w:rsidRDefault="00252C9B" w:rsidP="00BC07BB">
      <w:pPr>
        <w:rPr>
          <w:lang w:val="en-US"/>
        </w:rPr>
      </w:pPr>
      <w:r w:rsidRPr="00252C9B">
        <w:rPr>
          <w:noProof/>
        </w:rPr>
        <w:drawing>
          <wp:inline distT="0" distB="0" distL="0" distR="0" wp14:anchorId="2AB9F54C" wp14:editId="38096062">
            <wp:extent cx="6120765" cy="7131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713105"/>
                    </a:xfrm>
                    <a:prstGeom prst="rect">
                      <a:avLst/>
                    </a:prstGeom>
                    <a:noFill/>
                    <a:ln>
                      <a:noFill/>
                    </a:ln>
                  </pic:spPr>
                </pic:pic>
              </a:graphicData>
            </a:graphic>
          </wp:inline>
        </w:drawing>
      </w:r>
    </w:p>
    <w:p w14:paraId="48D5753E" w14:textId="0F11C4DF" w:rsidR="00252C9B" w:rsidRDefault="00252C9B" w:rsidP="00252C9B">
      <w:pPr>
        <w:pStyle w:val="Caption"/>
        <w:jc w:val="center"/>
      </w:pPr>
      <w:r>
        <w:t xml:space="preserve">Figure </w:t>
      </w:r>
      <w:r>
        <w:fldChar w:fldCharType="begin"/>
      </w:r>
      <w:r>
        <w:instrText xml:space="preserve"> SEQ Figure \* ARABIC </w:instrText>
      </w:r>
      <w:r>
        <w:fldChar w:fldCharType="separate"/>
      </w:r>
      <w:r w:rsidR="00DA126A">
        <w:rPr>
          <w:noProof/>
        </w:rPr>
        <w:t>4</w:t>
      </w:r>
      <w:r>
        <w:fldChar w:fldCharType="end"/>
      </w:r>
      <w:r>
        <w:t xml:space="preserve">: UL switching impact when FDD UL absorbs the switching gap (140 us switching </w:t>
      </w:r>
      <w:r w:rsidR="00EA232F">
        <w:t>time</w:t>
      </w:r>
      <w:r>
        <w:t>)</w:t>
      </w:r>
    </w:p>
    <w:p w14:paraId="2C68B366" w14:textId="7FBC1A96" w:rsidR="00FF4327" w:rsidRDefault="00FF4327">
      <w:pPr>
        <w:overflowPunct/>
        <w:autoSpaceDE/>
        <w:autoSpaceDN/>
        <w:adjustRightInd/>
        <w:spacing w:after="0"/>
        <w:textAlignment w:val="auto"/>
        <w:rPr>
          <w:lang w:val="en-US"/>
        </w:rPr>
      </w:pPr>
    </w:p>
    <w:p w14:paraId="76F5A55A" w14:textId="1685454F" w:rsidR="00252C9B" w:rsidRPr="00C95EEF" w:rsidRDefault="00252C9B" w:rsidP="00BC07BB">
      <w:pPr>
        <w:rPr>
          <w:lang w:val="en-US"/>
        </w:rPr>
      </w:pPr>
      <w:r>
        <w:rPr>
          <w:lang w:val="en-US"/>
        </w:rPr>
        <w:t>The 900 us switching</w:t>
      </w:r>
      <w:r w:rsidR="00C95EEF">
        <w:rPr>
          <w:lang w:val="en-US"/>
        </w:rPr>
        <w:t xml:space="preserve"> time</w:t>
      </w:r>
      <w:r>
        <w:rPr>
          <w:lang w:val="en-US"/>
        </w:rPr>
        <w:t xml:space="preserve"> implies a loss of 13 symbol at each switching point </w:t>
      </w:r>
      <w:proofErr w:type="gramStart"/>
      <w:r>
        <w:rPr>
          <w:lang w:val="en-US"/>
        </w:rPr>
        <w:t>assuming that</w:t>
      </w:r>
      <w:proofErr w:type="gramEnd"/>
      <w:r>
        <w:rPr>
          <w:lang w:val="en-US"/>
        </w:rPr>
        <w:t xml:space="preserve"> the (15 kHz SCS) FDD uplink absorbs the switch. Assuming as below assuming DDDSUDDSUU pattern with 10:2:2 switching slot for the TDD carrier the FDD has </w:t>
      </w:r>
      <w:r w:rsidR="00C95EEF">
        <w:rPr>
          <w:lang w:val="en-US"/>
        </w:rPr>
        <w:t xml:space="preserve">only 1 symbol at every </w:t>
      </w:r>
      <w:proofErr w:type="gramStart"/>
      <w:r w:rsidR="00C95EEF">
        <w:rPr>
          <w:lang w:val="en-US"/>
        </w:rPr>
        <w:t>70 symbol</w:t>
      </w:r>
      <w:proofErr w:type="gramEnd"/>
      <w:r w:rsidR="00C95EEF">
        <w:rPr>
          <w:lang w:val="en-US"/>
        </w:rPr>
        <w:t xml:space="preserve"> available, making the 900 us switching time completely infeasible</w:t>
      </w:r>
      <w:r>
        <w:rPr>
          <w:lang w:val="en-US"/>
        </w:rPr>
        <w:t>.</w:t>
      </w:r>
      <w:r w:rsidR="00AE4E46">
        <w:rPr>
          <w:lang w:val="en-US"/>
        </w:rPr>
        <w:t xml:space="preserve"> This is visualized in figure </w:t>
      </w:r>
      <w:r w:rsidR="00167589">
        <w:rPr>
          <w:lang w:val="en-US"/>
        </w:rPr>
        <w:t>5</w:t>
      </w:r>
      <w:r w:rsidR="00AE4E46">
        <w:rPr>
          <w:lang w:val="en-US"/>
        </w:rPr>
        <w:t xml:space="preserve"> below.</w:t>
      </w:r>
    </w:p>
    <w:p w14:paraId="14EA8EA6" w14:textId="13E0C4BF" w:rsidR="00252C9B" w:rsidRDefault="00252C9B" w:rsidP="00BC07BB">
      <w:pPr>
        <w:rPr>
          <w:lang w:val="en-US"/>
        </w:rPr>
      </w:pPr>
      <w:r w:rsidRPr="00252C9B">
        <w:rPr>
          <w:noProof/>
        </w:rPr>
        <w:drawing>
          <wp:inline distT="0" distB="0" distL="0" distR="0" wp14:anchorId="4D63637F" wp14:editId="7CA3B348">
            <wp:extent cx="6120765" cy="7131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713105"/>
                    </a:xfrm>
                    <a:prstGeom prst="rect">
                      <a:avLst/>
                    </a:prstGeom>
                    <a:noFill/>
                    <a:ln>
                      <a:noFill/>
                    </a:ln>
                  </pic:spPr>
                </pic:pic>
              </a:graphicData>
            </a:graphic>
          </wp:inline>
        </w:drawing>
      </w:r>
    </w:p>
    <w:p w14:paraId="6EF9035A" w14:textId="750D8904" w:rsidR="00252C9B" w:rsidRDefault="00252C9B" w:rsidP="00252C9B">
      <w:pPr>
        <w:pStyle w:val="Caption"/>
        <w:jc w:val="center"/>
      </w:pPr>
      <w:r>
        <w:t xml:space="preserve">Figure </w:t>
      </w:r>
      <w:r>
        <w:fldChar w:fldCharType="begin"/>
      </w:r>
      <w:r>
        <w:instrText xml:space="preserve"> SEQ Figure \* ARABIC </w:instrText>
      </w:r>
      <w:r>
        <w:fldChar w:fldCharType="separate"/>
      </w:r>
      <w:r w:rsidR="00DA126A">
        <w:rPr>
          <w:noProof/>
        </w:rPr>
        <w:t>5</w:t>
      </w:r>
      <w:r>
        <w:fldChar w:fldCharType="end"/>
      </w:r>
      <w:r>
        <w:t xml:space="preserve">: UL switching impact when FDD UL absorbs the switching gap (900 us switching </w:t>
      </w:r>
      <w:r w:rsidR="00EA232F">
        <w:t>time</w:t>
      </w:r>
      <w:r>
        <w:t>)</w:t>
      </w:r>
    </w:p>
    <w:p w14:paraId="30E89074" w14:textId="0AE54EDC" w:rsidR="00252C9B" w:rsidRDefault="00252C9B" w:rsidP="00BC07BB"/>
    <w:p w14:paraId="6DC85B3A" w14:textId="220C42CE" w:rsidR="00247929" w:rsidRDefault="00C95EEF" w:rsidP="00BC07BB">
      <w:bookmarkStart w:id="2" w:name="_Hlk21079196"/>
      <w:r>
        <w:rPr>
          <w:b/>
        </w:rPr>
        <w:lastRenderedPageBreak/>
        <w:t>Observation</w:t>
      </w:r>
      <w:r w:rsidR="00FF4327">
        <w:rPr>
          <w:b/>
        </w:rPr>
        <w:t xml:space="preserve"> 2</w:t>
      </w:r>
      <w:r>
        <w:rPr>
          <w:b/>
        </w:rPr>
        <w:t xml:space="preserve">: </w:t>
      </w:r>
      <w:r>
        <w:t>Assuming DDDSUDDSUU TDD pattern and that the FDD uplink absorbs the uplink switch, even with the 35 us switching time almost 40% of the FDD uplink is lost</w:t>
      </w:r>
      <w:r w:rsidR="00935773">
        <w:t xml:space="preserve"> for that UE</w:t>
      </w:r>
    </w:p>
    <w:bookmarkEnd w:id="2"/>
    <w:p w14:paraId="455218A5" w14:textId="6E9596DE" w:rsidR="004D5AFC" w:rsidRPr="004D5AFC" w:rsidRDefault="004D5AFC" w:rsidP="00BC07BB">
      <w:r>
        <w:rPr>
          <w:b/>
        </w:rPr>
        <w:t>Observation</w:t>
      </w:r>
      <w:r w:rsidR="00FF4327">
        <w:rPr>
          <w:b/>
        </w:rPr>
        <w:t xml:space="preserve"> 3</w:t>
      </w:r>
      <w:r>
        <w:t>: 900 us switching time is not suitable for dynamic switching, while operation comparable to RRC-reconfigured uplink where the uplink is switched only seldom based on longer term RRM metrics may be feasible if no periodic transmissions are configured on the FDD uplink.</w:t>
      </w:r>
    </w:p>
    <w:p w14:paraId="223E33EB" w14:textId="77777777" w:rsidR="00FF4327" w:rsidRDefault="00FF4327" w:rsidP="00FF4327">
      <w:r>
        <w:rPr>
          <w:b/>
        </w:rPr>
        <w:t xml:space="preserve">Proposal 1: </w:t>
      </w:r>
      <w:r>
        <w:t>Discuss whether the switching gap should be absorbed by the FDD uplink with no impact to the TDD uplink.</w:t>
      </w:r>
    </w:p>
    <w:p w14:paraId="1A0EFE07" w14:textId="73EE0214" w:rsidR="00C95EEF" w:rsidRDefault="004D5AFC" w:rsidP="00BC07BB">
      <w:r>
        <w:rPr>
          <w:b/>
        </w:rPr>
        <w:t>Proposal</w:t>
      </w:r>
      <w:r w:rsidR="00FF4327">
        <w:rPr>
          <w:b/>
        </w:rPr>
        <w:t xml:space="preserve"> 2</w:t>
      </w:r>
      <w:r>
        <w:rPr>
          <w:b/>
        </w:rPr>
        <w:t xml:space="preserve">: </w:t>
      </w:r>
      <w:r w:rsidR="00D2132A">
        <w:t>The UE switching time should be minimized</w:t>
      </w:r>
      <w:r w:rsidR="007841C8">
        <w:t xml:space="preserve">, preferably only </w:t>
      </w:r>
      <w:r w:rsidR="00230878">
        <w:t xml:space="preserve">one UE type with </w:t>
      </w:r>
      <w:r w:rsidR="007841C8">
        <w:t xml:space="preserve">35 us </w:t>
      </w:r>
      <w:r w:rsidR="00BD6204">
        <w:t xml:space="preserve">(or less) </w:t>
      </w:r>
      <w:r w:rsidR="007841C8">
        <w:t>switching time is allowed.</w:t>
      </w:r>
    </w:p>
    <w:p w14:paraId="43883D9D" w14:textId="27C1C003" w:rsidR="008634CD" w:rsidRDefault="008634CD" w:rsidP="008634CD">
      <w:pPr>
        <w:pStyle w:val="Heading2"/>
      </w:pPr>
      <w:r>
        <w:rPr>
          <w:lang w:val="en-US"/>
        </w:rPr>
        <w:t xml:space="preserve">Switching </w:t>
      </w:r>
      <w:r w:rsidR="00BD6204">
        <w:rPr>
          <w:lang w:val="en-US"/>
        </w:rPr>
        <w:t xml:space="preserve">and scheduling </w:t>
      </w:r>
      <w:r>
        <w:rPr>
          <w:lang w:val="en-US"/>
        </w:rPr>
        <w:t>timeline</w:t>
      </w:r>
    </w:p>
    <w:p w14:paraId="4AA1E7E8" w14:textId="26DCAA33" w:rsidR="001B762E" w:rsidRDefault="008634CD" w:rsidP="00BC07BB">
      <w:r>
        <w:t>The scheduling timeline for determining the slot format and whether to schedule the FDD UL to transmit something needs to be taken wel</w:t>
      </w:r>
      <w:r w:rsidR="00506F79">
        <w:t>l</w:t>
      </w:r>
      <w:r>
        <w:t xml:space="preserve"> before the decision on whether or not to schedule the </w:t>
      </w:r>
      <w:r w:rsidR="00DB22A7">
        <w:t xml:space="preserve">TDD UL needs to be </w:t>
      </w:r>
      <w:proofErr w:type="spellStart"/>
      <w:proofErr w:type="gramStart"/>
      <w:r w:rsidR="00DB22A7">
        <w:t>taken.This</w:t>
      </w:r>
      <w:proofErr w:type="spellEnd"/>
      <w:proofErr w:type="gramEnd"/>
      <w:r w:rsidR="00DB22A7">
        <w:t xml:space="preserve"> is outlined in figure </w:t>
      </w:r>
      <w:r w:rsidR="00167589">
        <w:t>6</w:t>
      </w:r>
      <w:r w:rsidR="00333481">
        <w:t xml:space="preserve">. </w:t>
      </w:r>
      <w:r w:rsidR="00DB22A7">
        <w:t xml:space="preserve">This is not a </w:t>
      </w:r>
      <w:r w:rsidR="00E83B19">
        <w:t>significant issue for this feature at least when thinking of MBB traffic</w:t>
      </w:r>
      <w:r w:rsidR="00DB22A7">
        <w:t xml:space="preserve">, </w:t>
      </w:r>
      <w:r w:rsidR="00E83B19">
        <w:t>it simply</w:t>
      </w:r>
      <w:r w:rsidR="00DB22A7">
        <w:t xml:space="preserve"> highlights the fact that even if the solution is nominally scheduling based, in the </w:t>
      </w:r>
      <w:r w:rsidR="00333481">
        <w:t>gNB the earlier scheduling decisions constrain the future ones.</w:t>
      </w:r>
      <w:r w:rsidR="001B762E">
        <w:t xml:space="preserve"> </w:t>
      </w:r>
    </w:p>
    <w:p w14:paraId="2700EBD8" w14:textId="5F6F5D0E" w:rsidR="00E957EB" w:rsidRDefault="008634CD" w:rsidP="00534D84">
      <w:pPr>
        <w:spacing w:after="0"/>
      </w:pPr>
      <w:r>
        <w:rPr>
          <w:noProof/>
        </w:rPr>
        <w:drawing>
          <wp:inline distT="0" distB="0" distL="0" distR="0" wp14:anchorId="5D0D9BF0" wp14:editId="6B1081E7">
            <wp:extent cx="6174000" cy="13968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74000" cy="1396800"/>
                    </a:xfrm>
                    <a:prstGeom prst="rect">
                      <a:avLst/>
                    </a:prstGeom>
                    <a:noFill/>
                  </pic:spPr>
                </pic:pic>
              </a:graphicData>
            </a:graphic>
          </wp:inline>
        </w:drawing>
      </w:r>
    </w:p>
    <w:p w14:paraId="3D95B430" w14:textId="418DE1EE" w:rsidR="008634CD" w:rsidRDefault="001B762E" w:rsidP="00836E97">
      <w:pPr>
        <w:spacing w:after="0"/>
      </w:pPr>
      <w:r>
        <w:rPr>
          <w:noProof/>
        </w:rPr>
        <w:drawing>
          <wp:inline distT="0" distB="0" distL="0" distR="0" wp14:anchorId="7B212D84" wp14:editId="42DC1AC9">
            <wp:extent cx="6112800" cy="1378800"/>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2800" cy="1378800"/>
                    </a:xfrm>
                    <a:prstGeom prst="rect">
                      <a:avLst/>
                    </a:prstGeom>
                    <a:noFill/>
                  </pic:spPr>
                </pic:pic>
              </a:graphicData>
            </a:graphic>
          </wp:inline>
        </w:drawing>
      </w:r>
    </w:p>
    <w:p w14:paraId="3454882E" w14:textId="1362540E" w:rsidR="001B762E" w:rsidRDefault="001B762E" w:rsidP="001B762E">
      <w:pPr>
        <w:pStyle w:val="Caption"/>
        <w:jc w:val="center"/>
      </w:pPr>
      <w:r>
        <w:t xml:space="preserve">Figure </w:t>
      </w:r>
      <w:r>
        <w:fldChar w:fldCharType="begin"/>
      </w:r>
      <w:r>
        <w:instrText xml:space="preserve"> SEQ Figure \* ARABIC </w:instrText>
      </w:r>
      <w:r>
        <w:fldChar w:fldCharType="separate"/>
      </w:r>
      <w:r w:rsidR="00DA126A">
        <w:rPr>
          <w:noProof/>
        </w:rPr>
        <w:t>6</w:t>
      </w:r>
      <w:r>
        <w:fldChar w:fldCharType="end"/>
      </w:r>
      <w:r>
        <w:t>: Grant timelines for the FDD and the TDD uplinks</w:t>
      </w:r>
    </w:p>
    <w:p w14:paraId="1E1CDF22" w14:textId="3D40DC20" w:rsidR="000A16D7" w:rsidRDefault="000A16D7" w:rsidP="00F33922">
      <w:pPr>
        <w:overflowPunct/>
        <w:autoSpaceDE/>
        <w:autoSpaceDN/>
        <w:adjustRightInd/>
        <w:spacing w:after="0"/>
        <w:textAlignment w:val="auto"/>
      </w:pPr>
      <w:r>
        <w:t xml:space="preserve">Figure </w:t>
      </w:r>
      <w:r w:rsidR="00167589">
        <w:t>7</w:t>
      </w:r>
      <w:r>
        <w:t xml:space="preserve"> illustrates one case for UE switching decision timeline. </w:t>
      </w:r>
    </w:p>
    <w:p w14:paraId="36D91B65" w14:textId="1A6E5107" w:rsidR="000A16D7" w:rsidRDefault="000A16D7" w:rsidP="000A16D7">
      <w:pPr>
        <w:pStyle w:val="ListParagraph"/>
        <w:numPr>
          <w:ilvl w:val="0"/>
          <w:numId w:val="41"/>
        </w:numPr>
      </w:pPr>
      <w:r>
        <w:t xml:space="preserve">On the FDD carrier the UE receives one slot in advance the knowledge that there is no data to be transmitted on the FDD UL slot by not receiving any DCI scheduling PUSCH there. At the same </w:t>
      </w:r>
      <w:proofErr w:type="gramStart"/>
      <w:r>
        <w:t>time</w:t>
      </w:r>
      <w:proofErr w:type="gramEnd"/>
      <w:r>
        <w:t xml:space="preserve"> it can be assigned a PUCCH resource on that slot to transmit the HARQ-ACK of the DL transmission.</w:t>
      </w:r>
    </w:p>
    <w:p w14:paraId="746477D3" w14:textId="778C41A5" w:rsidR="000A16D7" w:rsidRPr="000A16D7" w:rsidRDefault="000A16D7" w:rsidP="000A16D7">
      <w:pPr>
        <w:pStyle w:val="ListParagraph"/>
        <w:numPr>
          <w:ilvl w:val="0"/>
          <w:numId w:val="41"/>
        </w:numPr>
      </w:pPr>
      <w:r>
        <w:t xml:space="preserve">On the TDD carrier the UE receives the DCI scheduling the uplink one slot in advance and makes the determination that the TDD uplink is to transmit with two transmitters. This should lead to the UL Tx switching decision and truncate the corresponding FDD UL. </w:t>
      </w:r>
    </w:p>
    <w:p w14:paraId="1D94BAEF" w14:textId="5A5E05DA" w:rsidR="000808B2" w:rsidRPr="004D5AFC" w:rsidRDefault="000A16D7" w:rsidP="00836E97">
      <w:pPr>
        <w:spacing w:after="0"/>
      </w:pPr>
      <w:r>
        <w:rPr>
          <w:noProof/>
        </w:rPr>
        <w:drawing>
          <wp:inline distT="0" distB="0" distL="0" distR="0" wp14:anchorId="31B0431C" wp14:editId="641357D5">
            <wp:extent cx="6145200" cy="1504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45200" cy="1504800"/>
                    </a:xfrm>
                    <a:prstGeom prst="rect">
                      <a:avLst/>
                    </a:prstGeom>
                    <a:noFill/>
                  </pic:spPr>
                </pic:pic>
              </a:graphicData>
            </a:graphic>
          </wp:inline>
        </w:drawing>
      </w:r>
    </w:p>
    <w:p w14:paraId="10FA5898" w14:textId="547EB892" w:rsidR="00506F79" w:rsidRDefault="00506F79" w:rsidP="00506F79">
      <w:pPr>
        <w:pStyle w:val="Caption"/>
        <w:jc w:val="center"/>
      </w:pPr>
      <w:r>
        <w:t xml:space="preserve">Figure </w:t>
      </w:r>
      <w:r>
        <w:fldChar w:fldCharType="begin"/>
      </w:r>
      <w:r>
        <w:instrText xml:space="preserve"> SEQ Figure \* ARABIC </w:instrText>
      </w:r>
      <w:r>
        <w:fldChar w:fldCharType="separate"/>
      </w:r>
      <w:r w:rsidR="00DA126A">
        <w:rPr>
          <w:noProof/>
        </w:rPr>
        <w:t>7</w:t>
      </w:r>
      <w:r>
        <w:fldChar w:fldCharType="end"/>
      </w:r>
      <w:r>
        <w:t xml:space="preserve">: </w:t>
      </w:r>
      <w:r w:rsidR="00EE0597">
        <w:t>Switching decision</w:t>
      </w:r>
      <w:r>
        <w:t xml:space="preserve"> timeline</w:t>
      </w:r>
      <w:r w:rsidR="00EE0597">
        <w:t xml:space="preserve"> (assuming no cross-carrier scheduling)</w:t>
      </w:r>
    </w:p>
    <w:p w14:paraId="7CB6EEF6" w14:textId="0A5776A5" w:rsidR="00506F79" w:rsidRDefault="00506F79" w:rsidP="00534D84">
      <w:pPr>
        <w:rPr>
          <w:b/>
        </w:rPr>
      </w:pPr>
    </w:p>
    <w:p w14:paraId="77A2033B" w14:textId="04A9E95D" w:rsidR="000A16D7" w:rsidRDefault="000A16D7" w:rsidP="000A16D7">
      <w:r>
        <w:rPr>
          <w:b/>
        </w:rPr>
        <w:t>Observation</w:t>
      </w:r>
      <w:r w:rsidR="00FF4327">
        <w:rPr>
          <w:b/>
        </w:rPr>
        <w:t xml:space="preserve"> 4</w:t>
      </w:r>
      <w:r>
        <w:t>: The UL scheduling decisions may need to be made well in advance to match the decisions made on the two uplinks.</w:t>
      </w:r>
    </w:p>
    <w:p w14:paraId="5C285A69" w14:textId="5B686CBB" w:rsidR="000A16D7" w:rsidRDefault="000A16D7" w:rsidP="000A16D7">
      <w:r>
        <w:rPr>
          <w:b/>
        </w:rPr>
        <w:t>Observation</w:t>
      </w:r>
      <w:r w:rsidR="00FF4327">
        <w:rPr>
          <w:b/>
        </w:rPr>
        <w:t xml:space="preserve"> 5</w:t>
      </w:r>
      <w:r>
        <w:t xml:space="preserve">: The UE needs to be able to react to the </w:t>
      </w:r>
      <w:r w:rsidR="005F0D8C">
        <w:t>fastest scheduling or PUCCH resource assignment timeline and switch the uplink in time.</w:t>
      </w:r>
    </w:p>
    <w:p w14:paraId="402D715C" w14:textId="7E966167" w:rsidR="005F0D8C" w:rsidRPr="005F0D8C" w:rsidRDefault="005F0D8C" w:rsidP="000A16D7">
      <w:r>
        <w:rPr>
          <w:b/>
        </w:rPr>
        <w:t>Proposal</w:t>
      </w:r>
      <w:r w:rsidR="00FF4327">
        <w:rPr>
          <w:b/>
        </w:rPr>
        <w:t xml:space="preserve"> 3</w:t>
      </w:r>
      <w:r>
        <w:t>: If the UE is not scheduled with 2 Tx transmission on the TDD uplink, then both the TDD and FDD uplinks can simultaneously transmit without any disruptions</w:t>
      </w:r>
    </w:p>
    <w:p w14:paraId="5CBA3027" w14:textId="76431A43" w:rsidR="00534D84" w:rsidRDefault="00534D84" w:rsidP="00534D84">
      <w:r>
        <w:rPr>
          <w:b/>
        </w:rPr>
        <w:t>Proposal</w:t>
      </w:r>
      <w:r w:rsidR="00FF4327">
        <w:rPr>
          <w:b/>
        </w:rPr>
        <w:t xml:space="preserve"> 4</w:t>
      </w:r>
      <w:r>
        <w:rPr>
          <w:b/>
        </w:rPr>
        <w:t xml:space="preserve">: </w:t>
      </w:r>
      <w:r w:rsidR="005F0D8C">
        <w:t>The UE shall be able to switch the transmitter to an indicated uplink with any timeline the specification allows</w:t>
      </w:r>
      <w:r w:rsidR="00965896">
        <w:t xml:space="preserve"> for both PUSCH and PUCCH</w:t>
      </w:r>
    </w:p>
    <w:p w14:paraId="4434DE9D" w14:textId="29C0C81A" w:rsidR="005F0D8C" w:rsidRPr="005F0D8C" w:rsidRDefault="005F0D8C" w:rsidP="00534D84">
      <w:r>
        <w:rPr>
          <w:b/>
        </w:rPr>
        <w:t>Proposal</w:t>
      </w:r>
      <w:r w:rsidR="00FF4327">
        <w:rPr>
          <w:b/>
        </w:rPr>
        <w:t xml:space="preserve"> 5</w:t>
      </w:r>
      <w:r>
        <w:t xml:space="preserve">: If the scheduling or PUCCH resource assignment pre-empts an earlier transmission by assigning the </w:t>
      </w:r>
      <w:r w:rsidR="00965896">
        <w:t>transmitter</w:t>
      </w:r>
      <w:r>
        <w:t xml:space="preserve"> another carrier, the earlier transmission is truncated at the point where the Tx switching start</w:t>
      </w:r>
      <w:r w:rsidR="00965896">
        <w:t>s</w:t>
      </w:r>
      <w:r>
        <w:t>.</w:t>
      </w:r>
    </w:p>
    <w:p w14:paraId="5B5C6C68" w14:textId="77777777" w:rsidR="00534D84" w:rsidRDefault="00534D84" w:rsidP="00BC07BB"/>
    <w:p w14:paraId="39EEF8BA" w14:textId="3BF5B4C4" w:rsidR="00D2132A" w:rsidRDefault="00D2132A" w:rsidP="00D2132A">
      <w:pPr>
        <w:pStyle w:val="Heading2"/>
        <w:rPr>
          <w:lang w:val="en-US"/>
        </w:rPr>
      </w:pPr>
      <w:r>
        <w:rPr>
          <w:lang w:val="en-US"/>
        </w:rPr>
        <w:t>Operating principles</w:t>
      </w:r>
    </w:p>
    <w:p w14:paraId="4809F1FE" w14:textId="4CA8C307" w:rsidR="0083698F" w:rsidRDefault="0083698F" w:rsidP="00EA232F">
      <w:r>
        <w:t>We make the following proposals for the UE b</w:t>
      </w:r>
      <w:r w:rsidR="00DB0C04">
        <w:t>ehaviour to establish the operating principles:</w:t>
      </w:r>
    </w:p>
    <w:p w14:paraId="014EB1FF" w14:textId="12A6ED01" w:rsidR="00DB0C04" w:rsidRPr="00DB0C04" w:rsidRDefault="00DB0C04" w:rsidP="00EA232F">
      <w:pPr>
        <w:rPr>
          <w:b/>
        </w:rPr>
      </w:pPr>
      <w:r>
        <w:rPr>
          <w:b/>
        </w:rPr>
        <w:t>Proposal</w:t>
      </w:r>
      <w:r w:rsidR="00843AC0">
        <w:rPr>
          <w:b/>
        </w:rPr>
        <w:t xml:space="preserve"> 6</w:t>
      </w:r>
      <w:r>
        <w:rPr>
          <w:b/>
        </w:rPr>
        <w:t>:</w:t>
      </w:r>
      <w:r w:rsidR="00FF4327">
        <w:rPr>
          <w:b/>
        </w:rPr>
        <w:t xml:space="preserve"> </w:t>
      </w:r>
      <w:r w:rsidR="00843AC0">
        <w:rPr>
          <w:b/>
        </w:rPr>
        <w:t xml:space="preserve"> UE supporting and configured for this new mode</w:t>
      </w:r>
      <w:r w:rsidR="00C7425A">
        <w:rPr>
          <w:b/>
        </w:rPr>
        <w:t xml:space="preserve"> of operation</w:t>
      </w:r>
      <w:r w:rsidR="00843AC0">
        <w:rPr>
          <w:b/>
        </w:rPr>
        <w:t xml:space="preserve"> </w:t>
      </w:r>
    </w:p>
    <w:p w14:paraId="5986B851" w14:textId="77777777" w:rsidR="00DD5FE4" w:rsidRDefault="00DD5FE4" w:rsidP="00DD5FE4">
      <w:pPr>
        <w:pStyle w:val="ListParagraph"/>
        <w:numPr>
          <w:ilvl w:val="0"/>
          <w:numId w:val="42"/>
        </w:numPr>
      </w:pPr>
      <w:r>
        <w:t>When the TDD uplink is scheduled to transmit on 1 antenna port, the FDD uplink will transmit normally, except if the Tx is in the middle of the switching process between the carriers.</w:t>
      </w:r>
    </w:p>
    <w:p w14:paraId="3A0243E8" w14:textId="77777777" w:rsidR="0083698F" w:rsidRDefault="0083698F" w:rsidP="0083698F">
      <w:pPr>
        <w:pStyle w:val="ListParagraph"/>
        <w:numPr>
          <w:ilvl w:val="0"/>
          <w:numId w:val="42"/>
        </w:numPr>
      </w:pPr>
      <w:r>
        <w:t>The switching gap takes place on the FDD carrier immediately before the TDD carrier transmission starts and immediately after the TDD carrier transmission ends, so that the switching has zero impact on the FDD carrier</w:t>
      </w:r>
    </w:p>
    <w:p w14:paraId="3F2F6D88" w14:textId="691CCEAB" w:rsidR="0083698F" w:rsidRDefault="0083698F" w:rsidP="0083698F">
      <w:pPr>
        <w:pStyle w:val="ListParagraph"/>
        <w:numPr>
          <w:ilvl w:val="0"/>
          <w:numId w:val="42"/>
        </w:numPr>
      </w:pPr>
      <w:r>
        <w:t>The determination for whether the switching Tx is to be used as the TDD carrier’s 2</w:t>
      </w:r>
      <w:r w:rsidRPr="0083698F">
        <w:rPr>
          <w:vertAlign w:val="superscript"/>
        </w:rPr>
        <w:t>nd</w:t>
      </w:r>
      <w:r>
        <w:t xml:space="preserve"> Tx or on the FDD carrier is made on a symbol-by-symbol basis</w:t>
      </w:r>
    </w:p>
    <w:p w14:paraId="77B8420C" w14:textId="039734D3" w:rsidR="0083698F" w:rsidRDefault="0083698F" w:rsidP="0083698F">
      <w:pPr>
        <w:pStyle w:val="ListParagraph"/>
        <w:numPr>
          <w:ilvl w:val="1"/>
          <w:numId w:val="42"/>
        </w:numPr>
      </w:pPr>
      <w:r>
        <w:t xml:space="preserve">E.g. </w:t>
      </w:r>
      <w:r w:rsidR="00DB0C04">
        <w:t>Transmitting a 2Tx PUSCH followed by a short PUCCH in the same slot allows for the 2</w:t>
      </w:r>
      <w:r w:rsidR="00DB0C04" w:rsidRPr="00DB0C04">
        <w:rPr>
          <w:vertAlign w:val="superscript"/>
        </w:rPr>
        <w:t>nd</w:t>
      </w:r>
      <w:r w:rsidR="00DB0C04">
        <w:t xml:space="preserve"> Tx to switch to the FDD carrier while that PUCCH is being transmitted</w:t>
      </w:r>
    </w:p>
    <w:p w14:paraId="05688963" w14:textId="683B3C07" w:rsidR="0083698F" w:rsidRDefault="0083698F" w:rsidP="0083698F">
      <w:pPr>
        <w:pStyle w:val="ListParagraph"/>
        <w:numPr>
          <w:ilvl w:val="0"/>
          <w:numId w:val="42"/>
        </w:numPr>
      </w:pPr>
      <w:r>
        <w:t>When the TDD uplink is scheduled to transmit on 2 antenna ports (PUSCH or SRS), the FDD uplink will not transmit anything, except i</w:t>
      </w:r>
      <w:r w:rsidR="00060CAB">
        <w:t xml:space="preserve">f one of the following happens, in which case the </w:t>
      </w:r>
      <w:r w:rsidR="00DD5FE4">
        <w:t>TDD uplink transmission is dropped</w:t>
      </w:r>
    </w:p>
    <w:p w14:paraId="2C809924" w14:textId="5F3D65D6" w:rsidR="0083698F" w:rsidRDefault="0083698F" w:rsidP="0083698F">
      <w:pPr>
        <w:pStyle w:val="ListParagraph"/>
        <w:numPr>
          <w:ilvl w:val="1"/>
          <w:numId w:val="42"/>
        </w:numPr>
      </w:pPr>
      <w:r>
        <w:t>The FDD carrier is transmitting PRACH preamble</w:t>
      </w:r>
    </w:p>
    <w:p w14:paraId="5178BAC7" w14:textId="04C566AE" w:rsidR="0083698F" w:rsidRDefault="0083698F" w:rsidP="0083698F">
      <w:pPr>
        <w:pStyle w:val="ListParagraph"/>
        <w:numPr>
          <w:ilvl w:val="1"/>
          <w:numId w:val="42"/>
        </w:numPr>
      </w:pPr>
      <w:r>
        <w:t>The FDD carrier is scheduled to transmit PRACH MSG3.</w:t>
      </w:r>
    </w:p>
    <w:p w14:paraId="052318C6" w14:textId="5AA979C3" w:rsidR="00AD3A33" w:rsidRDefault="00AD3A33" w:rsidP="00AD3A33">
      <w:pPr>
        <w:pStyle w:val="Heading1"/>
      </w:pPr>
      <w:r>
        <w:t>Conclusions</w:t>
      </w:r>
    </w:p>
    <w:p w14:paraId="18B18776" w14:textId="49B8908B" w:rsidR="00935773" w:rsidRDefault="00935773" w:rsidP="00935773">
      <w:r>
        <w:t>This contribution discusses the new WI objective introduced by RAN#85 to the</w:t>
      </w:r>
      <w:r>
        <w:t xml:space="preserve"> </w:t>
      </w:r>
      <w:r>
        <w:t>“</w:t>
      </w:r>
      <w:r>
        <w:t>RF requirements for NR frequency range 1</w:t>
      </w:r>
      <w:r>
        <w:t>” that tasks the WGs to “</w:t>
      </w:r>
      <w:r w:rsidRPr="00935773">
        <w:rPr>
          <w:i/>
          <w:lang w:eastAsia="ja-JP"/>
        </w:rPr>
        <w:t>Specify UE requirements to allow switching between case 1 and case 2 as below for two uplink carriers case inter-band EN-DC without SUL, inter-band UL CA and standalone SUL for UE supporting maximum two concurrent transmission</w:t>
      </w:r>
      <w:r w:rsidRPr="00935773">
        <w:rPr>
          <w:lang w:eastAsia="ja-JP"/>
        </w:rPr>
        <w:t>”</w:t>
      </w:r>
      <w:r w:rsidRPr="00935773">
        <w:rPr>
          <w:lang w:eastAsia="ja-JP"/>
        </w:rPr>
        <w:t xml:space="preserve"> </w:t>
      </w:r>
      <w:r>
        <w:fldChar w:fldCharType="begin"/>
      </w:r>
      <w:r>
        <w:instrText xml:space="preserve"> REF _Ref20735686 \r \h </w:instrText>
      </w:r>
      <w:r>
        <w:fldChar w:fldCharType="separate"/>
      </w:r>
      <w:r>
        <w:t>[1]</w:t>
      </w:r>
      <w:r>
        <w:fldChar w:fldCharType="end"/>
      </w:r>
    </w:p>
    <w:p w14:paraId="2550340C" w14:textId="14717213" w:rsidR="00935773" w:rsidRPr="00935773" w:rsidRDefault="00935773" w:rsidP="00935773">
      <w:r>
        <w:t>This contribution makes the following observations and proposals related to the abovementioned WI objective:</w:t>
      </w:r>
    </w:p>
    <w:p w14:paraId="368CA1D8" w14:textId="562E49D2" w:rsidR="00935773" w:rsidRPr="00FF4327" w:rsidRDefault="00935773" w:rsidP="00935773">
      <w:r>
        <w:rPr>
          <w:b/>
        </w:rPr>
        <w:t>Observation 1</w:t>
      </w:r>
      <w:r>
        <w:t>: the gain potential is at good link conditions where the MIMO gain on the TDD carrier should be able to more than compensate for the loss of the uplink symbols on the FDD carrier</w:t>
      </w:r>
    </w:p>
    <w:p w14:paraId="323E7ABA" w14:textId="1DC5731E" w:rsidR="00935773" w:rsidRDefault="00935773" w:rsidP="00935773">
      <w:r>
        <w:rPr>
          <w:b/>
        </w:rPr>
        <w:t xml:space="preserve">Observation 2: </w:t>
      </w:r>
      <w:r>
        <w:t>Assuming DDDSUDDSUU TDD pattern and that the FDD uplink absorbs the uplink switch, even with the 35 us switching time almost 40% of the FDD uplink is lost</w:t>
      </w:r>
      <w:r>
        <w:t xml:space="preserve"> for that UE</w:t>
      </w:r>
    </w:p>
    <w:p w14:paraId="21F7129B" w14:textId="77777777" w:rsidR="00935773" w:rsidRPr="004D5AFC" w:rsidRDefault="00935773" w:rsidP="00935773">
      <w:r>
        <w:rPr>
          <w:b/>
        </w:rPr>
        <w:t>Observation 3</w:t>
      </w:r>
      <w:r>
        <w:t>: 900 us switching time is not suitable for dynamic switching, while operation comparable to RRC-reconfigured uplink where the uplink is switched only seldom based on longer term RRM metrics may be feasible if no periodic transmissions are configured on the FDD uplink.</w:t>
      </w:r>
    </w:p>
    <w:p w14:paraId="1E918067" w14:textId="77777777" w:rsidR="00935773" w:rsidRDefault="00935773" w:rsidP="00935773">
      <w:r>
        <w:rPr>
          <w:b/>
        </w:rPr>
        <w:t xml:space="preserve">Proposal 1: </w:t>
      </w:r>
      <w:r>
        <w:t>Discuss whether the switching gap should be absorbed by the FDD uplink with no impact to the TDD uplink.</w:t>
      </w:r>
    </w:p>
    <w:p w14:paraId="4EF7BCD1" w14:textId="77777777" w:rsidR="00935773" w:rsidRDefault="00935773" w:rsidP="00935773">
      <w:r>
        <w:rPr>
          <w:b/>
        </w:rPr>
        <w:lastRenderedPageBreak/>
        <w:t xml:space="preserve">Proposal 2: </w:t>
      </w:r>
      <w:r>
        <w:t>The UE switching time should be minimized, preferably only one UE type with 35 us (or less) switching time is allowed.</w:t>
      </w:r>
    </w:p>
    <w:p w14:paraId="0D2171AA" w14:textId="77777777" w:rsidR="00935773" w:rsidRDefault="00935773" w:rsidP="00935773">
      <w:r>
        <w:rPr>
          <w:b/>
        </w:rPr>
        <w:t>Observation 4</w:t>
      </w:r>
      <w:r>
        <w:t>: The UL scheduling decisions may need to be made well in advance to match the decisions made on the two uplinks.</w:t>
      </w:r>
    </w:p>
    <w:p w14:paraId="57124A31" w14:textId="77777777" w:rsidR="00935773" w:rsidRDefault="00935773" w:rsidP="00935773">
      <w:r>
        <w:rPr>
          <w:b/>
        </w:rPr>
        <w:t>Observation 5</w:t>
      </w:r>
      <w:r>
        <w:t>: The UE needs to be able to react to the fastest scheduling or PUCCH resource assignment timeline and switch the uplink in time.</w:t>
      </w:r>
    </w:p>
    <w:p w14:paraId="73B525EB" w14:textId="77777777" w:rsidR="00935773" w:rsidRPr="005F0D8C" w:rsidRDefault="00935773" w:rsidP="00935773">
      <w:r>
        <w:rPr>
          <w:b/>
        </w:rPr>
        <w:t>Proposal 3</w:t>
      </w:r>
      <w:r>
        <w:t>: If the UE is not scheduled with 2 Tx transmission on the TDD uplink, then both the TDD and FDD uplinks can simultaneously transmit without any disruptions</w:t>
      </w:r>
    </w:p>
    <w:p w14:paraId="077CACB3" w14:textId="77777777" w:rsidR="00935773" w:rsidRDefault="00935773" w:rsidP="00935773">
      <w:r>
        <w:rPr>
          <w:b/>
        </w:rPr>
        <w:t xml:space="preserve">Proposal 4: </w:t>
      </w:r>
      <w:r>
        <w:t>The UE shall be able to switch the transmitter to an indicated uplink with any timeline the specification allows for both PUSCH and PUCCH</w:t>
      </w:r>
    </w:p>
    <w:p w14:paraId="54F9FA1C" w14:textId="77777777" w:rsidR="00935773" w:rsidRPr="005F0D8C" w:rsidRDefault="00935773" w:rsidP="00935773">
      <w:r>
        <w:rPr>
          <w:b/>
        </w:rPr>
        <w:t>Proposal 5</w:t>
      </w:r>
      <w:r>
        <w:t>: If the scheduling or PUCCH resource assignment pre-empts an earlier transmission by assigning the transmitter another carrier, the earlier transmission is truncated at the point where the Tx switching starts.</w:t>
      </w:r>
    </w:p>
    <w:p w14:paraId="4C24965D" w14:textId="77777777" w:rsidR="00935773" w:rsidRPr="00DB0C04" w:rsidRDefault="00935773" w:rsidP="00935773">
      <w:pPr>
        <w:rPr>
          <w:b/>
        </w:rPr>
      </w:pPr>
      <w:r>
        <w:rPr>
          <w:b/>
        </w:rPr>
        <w:t xml:space="preserve">Proposal 6:  UE supporting and configured for this new mode of operation </w:t>
      </w:r>
    </w:p>
    <w:p w14:paraId="32A94348" w14:textId="77777777" w:rsidR="00935773" w:rsidRDefault="00935773" w:rsidP="00935773">
      <w:pPr>
        <w:pStyle w:val="ListParagraph"/>
        <w:numPr>
          <w:ilvl w:val="0"/>
          <w:numId w:val="42"/>
        </w:numPr>
      </w:pPr>
      <w:r>
        <w:t>When the TDD uplink is scheduled to transmit on 1 antenna port, the FDD uplink will transmit normally, except if the Tx is in the middle of the switching process between the carriers.</w:t>
      </w:r>
    </w:p>
    <w:p w14:paraId="2286DE4D" w14:textId="77777777" w:rsidR="00935773" w:rsidRDefault="00935773" w:rsidP="00935773">
      <w:pPr>
        <w:pStyle w:val="ListParagraph"/>
        <w:numPr>
          <w:ilvl w:val="0"/>
          <w:numId w:val="42"/>
        </w:numPr>
      </w:pPr>
      <w:r>
        <w:t>The switching gap takes place on the FDD carrier immediately before the TDD carrier transmission starts and immediately after the TDD carrier transmission ends, so that the switching has zero impact on the FDD carrier</w:t>
      </w:r>
    </w:p>
    <w:p w14:paraId="2B0AEBD8" w14:textId="77777777" w:rsidR="00935773" w:rsidRDefault="00935773" w:rsidP="00935773">
      <w:pPr>
        <w:pStyle w:val="ListParagraph"/>
        <w:numPr>
          <w:ilvl w:val="0"/>
          <w:numId w:val="42"/>
        </w:numPr>
      </w:pPr>
      <w:r>
        <w:t>The determination for whether the switching Tx is to be used as the TDD carrier’s 2</w:t>
      </w:r>
      <w:r w:rsidRPr="0083698F">
        <w:rPr>
          <w:vertAlign w:val="superscript"/>
        </w:rPr>
        <w:t>nd</w:t>
      </w:r>
      <w:r>
        <w:t xml:space="preserve"> Tx or on the FDD carrier is made on a symbol-by-symbol basis</w:t>
      </w:r>
    </w:p>
    <w:p w14:paraId="5D0675F7" w14:textId="77777777" w:rsidR="00935773" w:rsidRDefault="00935773" w:rsidP="00935773">
      <w:pPr>
        <w:pStyle w:val="ListParagraph"/>
        <w:numPr>
          <w:ilvl w:val="1"/>
          <w:numId w:val="42"/>
        </w:numPr>
      </w:pPr>
      <w:r>
        <w:t>E.g. Transmitting a 2Tx PUSCH followed by a short PUCCH in the same slot allows for the 2</w:t>
      </w:r>
      <w:r w:rsidRPr="00DB0C04">
        <w:rPr>
          <w:vertAlign w:val="superscript"/>
        </w:rPr>
        <w:t>nd</w:t>
      </w:r>
      <w:r>
        <w:t xml:space="preserve"> Tx to switch to the FDD carrier while that PUCCH is being transmitted</w:t>
      </w:r>
    </w:p>
    <w:p w14:paraId="5BE85CEB" w14:textId="77777777" w:rsidR="00935773" w:rsidRDefault="00935773" w:rsidP="00935773">
      <w:pPr>
        <w:pStyle w:val="ListParagraph"/>
        <w:numPr>
          <w:ilvl w:val="0"/>
          <w:numId w:val="42"/>
        </w:numPr>
      </w:pPr>
      <w:r>
        <w:t>When the TDD uplink is scheduled to transmit on 2 antenna ports (PUSCH or SRS), the FDD uplink will not transmit anything, except if one of the following happens, in which case the TDD uplink transmission is dropped</w:t>
      </w:r>
    </w:p>
    <w:p w14:paraId="7C419B8D" w14:textId="77777777" w:rsidR="00935773" w:rsidRDefault="00935773" w:rsidP="00935773">
      <w:pPr>
        <w:pStyle w:val="ListParagraph"/>
        <w:numPr>
          <w:ilvl w:val="1"/>
          <w:numId w:val="42"/>
        </w:numPr>
      </w:pPr>
      <w:r>
        <w:t>The FDD carrier is transmitting PRACH preamble</w:t>
      </w:r>
    </w:p>
    <w:p w14:paraId="7BF97DE9" w14:textId="77777777" w:rsidR="00935773" w:rsidRDefault="00935773" w:rsidP="00935773">
      <w:pPr>
        <w:pStyle w:val="ListParagraph"/>
        <w:numPr>
          <w:ilvl w:val="1"/>
          <w:numId w:val="42"/>
        </w:numPr>
      </w:pPr>
      <w:r>
        <w:t>The FDD carrier is scheduled to transmit PRACH MSG3.</w:t>
      </w:r>
    </w:p>
    <w:p w14:paraId="75158EBF" w14:textId="77777777" w:rsidR="00885580" w:rsidRPr="00ED1327" w:rsidRDefault="00885580" w:rsidP="00885580">
      <w:pPr>
        <w:pStyle w:val="Heading1"/>
        <w:numPr>
          <w:ilvl w:val="0"/>
          <w:numId w:val="0"/>
        </w:numPr>
      </w:pPr>
      <w:r>
        <w:t>References</w:t>
      </w:r>
    </w:p>
    <w:bookmarkStart w:id="3" w:name="_Ref20735686"/>
    <w:bookmarkStart w:id="4" w:name="_Hlk8121871"/>
    <w:p w14:paraId="0DC88C26" w14:textId="0DC5D941" w:rsidR="00C617C8" w:rsidRDefault="00C617C8" w:rsidP="00C617C8">
      <w:pPr>
        <w:pStyle w:val="ListParagraph"/>
        <w:numPr>
          <w:ilvl w:val="0"/>
          <w:numId w:val="3"/>
        </w:numPr>
      </w:pPr>
      <w:r>
        <w:fldChar w:fldCharType="begin"/>
      </w:r>
      <w:r>
        <w:instrText xml:space="preserve"> HYPERLINK "https://www.3gpp.org/ftp/tsg_ran/TSG_RAN/TSGR_85/Docs/RP-192282.zip" </w:instrText>
      </w:r>
      <w:r>
        <w:fldChar w:fldCharType="separate"/>
      </w:r>
      <w:r w:rsidRPr="00492CBB">
        <w:rPr>
          <w:rStyle w:val="Hyperlink"/>
        </w:rPr>
        <w:t>RP-192282</w:t>
      </w:r>
      <w:r>
        <w:fldChar w:fldCharType="end"/>
      </w:r>
      <w:r>
        <w:tab/>
      </w:r>
      <w:r w:rsidRPr="00492CBB">
        <w:t>WID revision: RF requirements for NR frequency range 1 (FR1)</w:t>
      </w:r>
      <w:bookmarkEnd w:id="3"/>
      <w:r w:rsidRPr="00492CBB">
        <w:tab/>
      </w:r>
    </w:p>
    <w:bookmarkStart w:id="5" w:name="_Ref20739577"/>
    <w:p w14:paraId="1A682F98" w14:textId="47AF9818" w:rsidR="00212901" w:rsidRDefault="00212901" w:rsidP="00212901">
      <w:pPr>
        <w:pStyle w:val="ListParagraph"/>
        <w:numPr>
          <w:ilvl w:val="0"/>
          <w:numId w:val="3"/>
        </w:numPr>
      </w:pPr>
      <w:r>
        <w:fldChar w:fldCharType="begin"/>
      </w:r>
      <w:r>
        <w:instrText>HYPERLINK "https://www.3gpp.org/ftp/tsg_ran/WG4_Radio/TSGR4_92/Docs/R4-1908584.zip"</w:instrText>
      </w:r>
      <w:r>
        <w:fldChar w:fldCharType="separate"/>
      </w:r>
      <w:r>
        <w:rPr>
          <w:rStyle w:val="Hyperlink"/>
        </w:rPr>
        <w:t>R4-1908584</w:t>
      </w:r>
      <w:r>
        <w:fldChar w:fldCharType="end"/>
      </w:r>
      <w:r>
        <w:tab/>
      </w:r>
      <w:r w:rsidR="00C617C8" w:rsidRPr="00C617C8">
        <w:t>Discussion on requirement for switching period between two FR1 uplink carriers</w:t>
      </w:r>
      <w:r>
        <w:t>, China Telecom</w:t>
      </w:r>
      <w:r w:rsidR="00C617C8">
        <w:t>, CMCC, China Unicom</w:t>
      </w:r>
      <w:bookmarkEnd w:id="5"/>
    </w:p>
    <w:bookmarkStart w:id="6" w:name="_Ref20739580"/>
    <w:p w14:paraId="546C9B49" w14:textId="006BFD55" w:rsidR="00DA19D0" w:rsidRDefault="00DA19D0" w:rsidP="00DA19D0">
      <w:pPr>
        <w:pStyle w:val="ListParagraph"/>
        <w:numPr>
          <w:ilvl w:val="0"/>
          <w:numId w:val="3"/>
        </w:numPr>
      </w:pPr>
      <w:r>
        <w:fldChar w:fldCharType="begin"/>
      </w:r>
      <w:r>
        <w:instrText xml:space="preserve"> HYPERLINK "https://www.3gpp.org/ftp/tsg_ran/TSG_RAN/TSGR_85/Docs/RP-191894.zip" </w:instrText>
      </w:r>
      <w:r>
        <w:fldChar w:fldCharType="separate"/>
      </w:r>
      <w:r w:rsidRPr="00492CBB">
        <w:rPr>
          <w:rStyle w:val="Hyperlink"/>
        </w:rPr>
        <w:t>RP-191894</w:t>
      </w:r>
      <w:r>
        <w:fldChar w:fldCharType="end"/>
      </w:r>
      <w:r>
        <w:tab/>
      </w:r>
      <w:r w:rsidRPr="00492CBB">
        <w:t>On switching period between two FR1 uplink carriers</w:t>
      </w:r>
      <w:r>
        <w:t>, China Telecom</w:t>
      </w:r>
      <w:bookmarkEnd w:id="6"/>
    </w:p>
    <w:bookmarkStart w:id="7" w:name="_Ref20742732"/>
    <w:p w14:paraId="59011AA6" w14:textId="15BED495" w:rsidR="00212901" w:rsidRDefault="00212901" w:rsidP="00212901">
      <w:pPr>
        <w:pStyle w:val="ListParagraph"/>
        <w:numPr>
          <w:ilvl w:val="0"/>
          <w:numId w:val="3"/>
        </w:numPr>
      </w:pPr>
      <w:r>
        <w:fldChar w:fldCharType="begin"/>
      </w:r>
      <w:r>
        <w:instrText xml:space="preserve"> HYPERLINK "https://www.3gpp.org/ftp/tsg_ran/WG4_Radio/TSGR4_92/Docs/R4-1910531.zip" </w:instrText>
      </w:r>
      <w:r>
        <w:fldChar w:fldCharType="separate"/>
      </w:r>
      <w:r w:rsidRPr="00492CBB">
        <w:rPr>
          <w:rStyle w:val="Hyperlink"/>
        </w:rPr>
        <w:t>R4-1910531</w:t>
      </w:r>
      <w:r>
        <w:fldChar w:fldCharType="end"/>
      </w:r>
      <w:r>
        <w:tab/>
      </w:r>
      <w:r w:rsidRPr="00492CBB">
        <w:t>Ad-hoc minutes on switching period between two FR1 uplink carriers</w:t>
      </w:r>
      <w:r>
        <w:t>, China Telecom</w:t>
      </w:r>
      <w:bookmarkEnd w:id="7"/>
    </w:p>
    <w:p w14:paraId="71618093" w14:textId="1C7B8AF0" w:rsidR="00492CBB" w:rsidRDefault="00935773" w:rsidP="00247929">
      <w:pPr>
        <w:pStyle w:val="ListParagraph"/>
        <w:numPr>
          <w:ilvl w:val="0"/>
          <w:numId w:val="3"/>
        </w:numPr>
      </w:pPr>
      <w:hyperlink r:id="rId22" w:history="1">
        <w:r w:rsidR="00072A5B" w:rsidRPr="00492CBB">
          <w:rPr>
            <w:rStyle w:val="Hyperlink"/>
          </w:rPr>
          <w:t>R</w:t>
        </w:r>
        <w:r w:rsidR="00492CBB" w:rsidRPr="00492CBB">
          <w:rPr>
            <w:rStyle w:val="Hyperlink"/>
          </w:rPr>
          <w:t>P</w:t>
        </w:r>
        <w:r w:rsidR="00072A5B" w:rsidRPr="00492CBB">
          <w:rPr>
            <w:rStyle w:val="Hyperlink"/>
          </w:rPr>
          <w:t>-19</w:t>
        </w:r>
        <w:r w:rsidR="00492CBB" w:rsidRPr="00492CBB">
          <w:rPr>
            <w:rStyle w:val="Hyperlink"/>
          </w:rPr>
          <w:t>2251</w:t>
        </w:r>
      </w:hyperlink>
      <w:r w:rsidR="00072A5B">
        <w:tab/>
      </w:r>
      <w:r w:rsidR="00492CBB" w:rsidRPr="00492CBB">
        <w:t xml:space="preserve">Way forward on scope definition for switching between FR1 uplink </w:t>
      </w:r>
      <w:r w:rsidR="00492CBB">
        <w:t>carriers, China Telecom</w:t>
      </w:r>
      <w:bookmarkEnd w:id="4"/>
    </w:p>
    <w:sectPr w:rsidR="00492CB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B42F31" w14:textId="77777777" w:rsidR="00CB1C9D" w:rsidRDefault="00CB1C9D">
      <w:r>
        <w:separator/>
      </w:r>
    </w:p>
  </w:endnote>
  <w:endnote w:type="continuationSeparator" w:id="0">
    <w:p w14:paraId="0ACAC651" w14:textId="77777777" w:rsidR="00CB1C9D" w:rsidRDefault="00CB1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06616F" w14:textId="77777777" w:rsidR="00CB1C9D" w:rsidRDefault="00CB1C9D">
      <w:r>
        <w:separator/>
      </w:r>
    </w:p>
  </w:footnote>
  <w:footnote w:type="continuationSeparator" w:id="0">
    <w:p w14:paraId="1B903B3A" w14:textId="77777777" w:rsidR="00CB1C9D" w:rsidRDefault="00CB1C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B05BB7"/>
    <w:multiLevelType w:val="hybridMultilevel"/>
    <w:tmpl w:val="A7B09468"/>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347D0"/>
    <w:multiLevelType w:val="hybridMultilevel"/>
    <w:tmpl w:val="54603D8C"/>
    <w:lvl w:ilvl="0" w:tplc="7F9C03EA">
      <w:start w:val="1"/>
      <w:numFmt w:val="decimal"/>
      <w:lvlText w:val="Proposal %1."/>
      <w:lvlJc w:val="left"/>
      <w:pPr>
        <w:ind w:left="704" w:hanging="420"/>
      </w:pPr>
      <w:rPr>
        <w:rFonts w:hint="eastAsia"/>
        <w:b/>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B113065"/>
    <w:multiLevelType w:val="hybridMultilevel"/>
    <w:tmpl w:val="BEA44BAE"/>
    <w:lvl w:ilvl="0" w:tplc="DDE8B1D2">
      <w:start w:val="1"/>
      <w:numFmt w:val="bullet"/>
      <w:lvlText w:val="•"/>
      <w:lvlJc w:val="left"/>
      <w:pPr>
        <w:tabs>
          <w:tab w:val="num" w:pos="720"/>
        </w:tabs>
        <w:ind w:left="720" w:hanging="360"/>
      </w:pPr>
      <w:rPr>
        <w:rFonts w:ascii="Arial" w:hAnsi="Arial" w:hint="default"/>
      </w:rPr>
    </w:lvl>
    <w:lvl w:ilvl="1" w:tplc="6E5E83FC">
      <w:start w:val="1"/>
      <w:numFmt w:val="bullet"/>
      <w:lvlText w:val="•"/>
      <w:lvlJc w:val="left"/>
      <w:pPr>
        <w:tabs>
          <w:tab w:val="num" w:pos="1440"/>
        </w:tabs>
        <w:ind w:left="1440" w:hanging="360"/>
      </w:pPr>
      <w:rPr>
        <w:rFonts w:ascii="Arial" w:hAnsi="Arial" w:hint="default"/>
      </w:rPr>
    </w:lvl>
    <w:lvl w:ilvl="2" w:tplc="C35A0270" w:tentative="1">
      <w:start w:val="1"/>
      <w:numFmt w:val="bullet"/>
      <w:lvlText w:val="•"/>
      <w:lvlJc w:val="left"/>
      <w:pPr>
        <w:tabs>
          <w:tab w:val="num" w:pos="2160"/>
        </w:tabs>
        <w:ind w:left="2160" w:hanging="360"/>
      </w:pPr>
      <w:rPr>
        <w:rFonts w:ascii="Arial" w:hAnsi="Arial" w:hint="default"/>
      </w:rPr>
    </w:lvl>
    <w:lvl w:ilvl="3" w:tplc="00DA0B44" w:tentative="1">
      <w:start w:val="1"/>
      <w:numFmt w:val="bullet"/>
      <w:lvlText w:val="•"/>
      <w:lvlJc w:val="left"/>
      <w:pPr>
        <w:tabs>
          <w:tab w:val="num" w:pos="2880"/>
        </w:tabs>
        <w:ind w:left="2880" w:hanging="360"/>
      </w:pPr>
      <w:rPr>
        <w:rFonts w:ascii="Arial" w:hAnsi="Arial" w:hint="default"/>
      </w:rPr>
    </w:lvl>
    <w:lvl w:ilvl="4" w:tplc="92E83BB8" w:tentative="1">
      <w:start w:val="1"/>
      <w:numFmt w:val="bullet"/>
      <w:lvlText w:val="•"/>
      <w:lvlJc w:val="left"/>
      <w:pPr>
        <w:tabs>
          <w:tab w:val="num" w:pos="3600"/>
        </w:tabs>
        <w:ind w:left="3600" w:hanging="360"/>
      </w:pPr>
      <w:rPr>
        <w:rFonts w:ascii="Arial" w:hAnsi="Arial" w:hint="default"/>
      </w:rPr>
    </w:lvl>
    <w:lvl w:ilvl="5" w:tplc="6B52A440" w:tentative="1">
      <w:start w:val="1"/>
      <w:numFmt w:val="bullet"/>
      <w:lvlText w:val="•"/>
      <w:lvlJc w:val="left"/>
      <w:pPr>
        <w:tabs>
          <w:tab w:val="num" w:pos="4320"/>
        </w:tabs>
        <w:ind w:left="4320" w:hanging="360"/>
      </w:pPr>
      <w:rPr>
        <w:rFonts w:ascii="Arial" w:hAnsi="Arial" w:hint="default"/>
      </w:rPr>
    </w:lvl>
    <w:lvl w:ilvl="6" w:tplc="93C6B994" w:tentative="1">
      <w:start w:val="1"/>
      <w:numFmt w:val="bullet"/>
      <w:lvlText w:val="•"/>
      <w:lvlJc w:val="left"/>
      <w:pPr>
        <w:tabs>
          <w:tab w:val="num" w:pos="5040"/>
        </w:tabs>
        <w:ind w:left="5040" w:hanging="360"/>
      </w:pPr>
      <w:rPr>
        <w:rFonts w:ascii="Arial" w:hAnsi="Arial" w:hint="default"/>
      </w:rPr>
    </w:lvl>
    <w:lvl w:ilvl="7" w:tplc="E622410A" w:tentative="1">
      <w:start w:val="1"/>
      <w:numFmt w:val="bullet"/>
      <w:lvlText w:val="•"/>
      <w:lvlJc w:val="left"/>
      <w:pPr>
        <w:tabs>
          <w:tab w:val="num" w:pos="5760"/>
        </w:tabs>
        <w:ind w:left="5760" w:hanging="360"/>
      </w:pPr>
      <w:rPr>
        <w:rFonts w:ascii="Arial" w:hAnsi="Arial" w:hint="default"/>
      </w:rPr>
    </w:lvl>
    <w:lvl w:ilvl="8" w:tplc="7994C6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AE51CF"/>
    <w:multiLevelType w:val="multilevel"/>
    <w:tmpl w:val="2F2B3DB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E29602E"/>
    <w:multiLevelType w:val="hybridMultilevel"/>
    <w:tmpl w:val="222444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DE5EFD"/>
    <w:multiLevelType w:val="hybridMultilevel"/>
    <w:tmpl w:val="5F164362"/>
    <w:lvl w:ilvl="0" w:tplc="B972034E">
      <w:start w:val="1"/>
      <w:numFmt w:val="bullet"/>
      <w:lvlText w:val="•"/>
      <w:lvlJc w:val="left"/>
      <w:pPr>
        <w:tabs>
          <w:tab w:val="num" w:pos="720"/>
        </w:tabs>
        <w:ind w:left="720" w:hanging="360"/>
      </w:pPr>
      <w:rPr>
        <w:rFonts w:ascii="Arial" w:hAnsi="Arial" w:hint="default"/>
      </w:rPr>
    </w:lvl>
    <w:lvl w:ilvl="1" w:tplc="3858E65A">
      <w:start w:val="1"/>
      <w:numFmt w:val="bullet"/>
      <w:lvlText w:val="•"/>
      <w:lvlJc w:val="left"/>
      <w:pPr>
        <w:tabs>
          <w:tab w:val="num" w:pos="1440"/>
        </w:tabs>
        <w:ind w:left="1440" w:hanging="360"/>
      </w:pPr>
      <w:rPr>
        <w:rFonts w:ascii="Arial" w:hAnsi="Arial" w:hint="default"/>
      </w:rPr>
    </w:lvl>
    <w:lvl w:ilvl="2" w:tplc="89D4F298">
      <w:start w:val="22"/>
      <w:numFmt w:val="bullet"/>
      <w:lvlText w:val="•"/>
      <w:lvlJc w:val="left"/>
      <w:pPr>
        <w:tabs>
          <w:tab w:val="num" w:pos="2160"/>
        </w:tabs>
        <w:ind w:left="2160" w:hanging="360"/>
      </w:pPr>
      <w:rPr>
        <w:rFonts w:ascii="Arial" w:hAnsi="Arial" w:hint="default"/>
      </w:rPr>
    </w:lvl>
    <w:lvl w:ilvl="3" w:tplc="424E2646" w:tentative="1">
      <w:start w:val="1"/>
      <w:numFmt w:val="bullet"/>
      <w:lvlText w:val="•"/>
      <w:lvlJc w:val="left"/>
      <w:pPr>
        <w:tabs>
          <w:tab w:val="num" w:pos="2880"/>
        </w:tabs>
        <w:ind w:left="2880" w:hanging="360"/>
      </w:pPr>
      <w:rPr>
        <w:rFonts w:ascii="Arial" w:hAnsi="Arial" w:hint="default"/>
      </w:rPr>
    </w:lvl>
    <w:lvl w:ilvl="4" w:tplc="B9382A94" w:tentative="1">
      <w:start w:val="1"/>
      <w:numFmt w:val="bullet"/>
      <w:lvlText w:val="•"/>
      <w:lvlJc w:val="left"/>
      <w:pPr>
        <w:tabs>
          <w:tab w:val="num" w:pos="3600"/>
        </w:tabs>
        <w:ind w:left="3600" w:hanging="360"/>
      </w:pPr>
      <w:rPr>
        <w:rFonts w:ascii="Arial" w:hAnsi="Arial" w:hint="default"/>
      </w:rPr>
    </w:lvl>
    <w:lvl w:ilvl="5" w:tplc="E2B4D06C" w:tentative="1">
      <w:start w:val="1"/>
      <w:numFmt w:val="bullet"/>
      <w:lvlText w:val="•"/>
      <w:lvlJc w:val="left"/>
      <w:pPr>
        <w:tabs>
          <w:tab w:val="num" w:pos="4320"/>
        </w:tabs>
        <w:ind w:left="4320" w:hanging="360"/>
      </w:pPr>
      <w:rPr>
        <w:rFonts w:ascii="Arial" w:hAnsi="Arial" w:hint="default"/>
      </w:rPr>
    </w:lvl>
    <w:lvl w:ilvl="6" w:tplc="4BCA0772" w:tentative="1">
      <w:start w:val="1"/>
      <w:numFmt w:val="bullet"/>
      <w:lvlText w:val="•"/>
      <w:lvlJc w:val="left"/>
      <w:pPr>
        <w:tabs>
          <w:tab w:val="num" w:pos="5040"/>
        </w:tabs>
        <w:ind w:left="5040" w:hanging="360"/>
      </w:pPr>
      <w:rPr>
        <w:rFonts w:ascii="Arial" w:hAnsi="Arial" w:hint="default"/>
      </w:rPr>
    </w:lvl>
    <w:lvl w:ilvl="7" w:tplc="FE3498B4" w:tentative="1">
      <w:start w:val="1"/>
      <w:numFmt w:val="bullet"/>
      <w:lvlText w:val="•"/>
      <w:lvlJc w:val="left"/>
      <w:pPr>
        <w:tabs>
          <w:tab w:val="num" w:pos="5760"/>
        </w:tabs>
        <w:ind w:left="5760" w:hanging="360"/>
      </w:pPr>
      <w:rPr>
        <w:rFonts w:ascii="Arial" w:hAnsi="Arial" w:hint="default"/>
      </w:rPr>
    </w:lvl>
    <w:lvl w:ilvl="8" w:tplc="B1C8F8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B17278"/>
    <w:multiLevelType w:val="hybridMultilevel"/>
    <w:tmpl w:val="9D125274"/>
    <w:lvl w:ilvl="0" w:tplc="5924526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B2F30"/>
    <w:multiLevelType w:val="hybridMultilevel"/>
    <w:tmpl w:val="16DE97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BE2F12"/>
    <w:multiLevelType w:val="hybridMultilevel"/>
    <w:tmpl w:val="F4981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1" w15:restartNumberingAfterBreak="0">
    <w:nsid w:val="23E539A3"/>
    <w:multiLevelType w:val="hybridMultilevel"/>
    <w:tmpl w:val="DAD00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18779D"/>
    <w:multiLevelType w:val="hybridMultilevel"/>
    <w:tmpl w:val="2EF0F61E"/>
    <w:lvl w:ilvl="0" w:tplc="5FD4DC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5A3AE6"/>
    <w:multiLevelType w:val="hybridMultilevel"/>
    <w:tmpl w:val="9B2C4DAA"/>
    <w:lvl w:ilvl="0" w:tplc="04090001">
      <w:start w:val="1"/>
      <w:numFmt w:val="bullet"/>
      <w:lvlText w:val=""/>
      <w:lvlJc w:val="left"/>
      <w:pPr>
        <w:ind w:left="720" w:hanging="360"/>
      </w:pPr>
      <w:rPr>
        <w:rFonts w:ascii="Symbol" w:hAnsi="Symbol" w:hint="default"/>
      </w:rPr>
    </w:lvl>
    <w:lvl w:ilvl="1" w:tplc="B928E96C">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4DD7156"/>
    <w:multiLevelType w:val="hybridMultilevel"/>
    <w:tmpl w:val="6F2668C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AA46647"/>
    <w:multiLevelType w:val="hybridMultilevel"/>
    <w:tmpl w:val="F1422642"/>
    <w:lvl w:ilvl="0" w:tplc="9A22AB8C">
      <w:start w:val="1"/>
      <w:numFmt w:val="decimal"/>
      <w:lvlText w:val="Proposal %1"/>
      <w:lvlJc w:val="left"/>
      <w:pPr>
        <w:tabs>
          <w:tab w:val="num" w:pos="1304"/>
        </w:tabs>
        <w:ind w:left="1304" w:hanging="1304"/>
      </w:pPr>
      <w:rPr>
        <w:b/>
      </w:rPr>
    </w:lvl>
    <w:lvl w:ilvl="1" w:tplc="041D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AB735D6"/>
    <w:multiLevelType w:val="hybridMultilevel"/>
    <w:tmpl w:val="AEC8BF24"/>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pStyle w:val="ListParagraph"/>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D94438"/>
    <w:multiLevelType w:val="hybridMultilevel"/>
    <w:tmpl w:val="B6B26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F112B3C"/>
    <w:multiLevelType w:val="hybridMultilevel"/>
    <w:tmpl w:val="A2C6F010"/>
    <w:lvl w:ilvl="0" w:tplc="5C84ABBA">
      <w:start w:val="1"/>
      <w:numFmt w:val="bullet"/>
      <w:lvlText w:val="•"/>
      <w:lvlJc w:val="left"/>
      <w:pPr>
        <w:tabs>
          <w:tab w:val="num" w:pos="720"/>
        </w:tabs>
        <w:ind w:left="720" w:hanging="360"/>
      </w:pPr>
      <w:rPr>
        <w:rFonts w:ascii="Arial" w:hAnsi="Arial" w:hint="default"/>
      </w:rPr>
    </w:lvl>
    <w:lvl w:ilvl="1" w:tplc="A3068634">
      <w:start w:val="188"/>
      <w:numFmt w:val="bullet"/>
      <w:lvlText w:val="–"/>
      <w:lvlJc w:val="left"/>
      <w:pPr>
        <w:tabs>
          <w:tab w:val="num" w:pos="1440"/>
        </w:tabs>
        <w:ind w:left="1440" w:hanging="360"/>
      </w:pPr>
      <w:rPr>
        <w:rFonts w:ascii="Arial" w:hAnsi="Arial" w:hint="default"/>
      </w:rPr>
    </w:lvl>
    <w:lvl w:ilvl="2" w:tplc="E1809000" w:tentative="1">
      <w:start w:val="1"/>
      <w:numFmt w:val="bullet"/>
      <w:lvlText w:val="•"/>
      <w:lvlJc w:val="left"/>
      <w:pPr>
        <w:tabs>
          <w:tab w:val="num" w:pos="2160"/>
        </w:tabs>
        <w:ind w:left="2160" w:hanging="360"/>
      </w:pPr>
      <w:rPr>
        <w:rFonts w:ascii="Arial" w:hAnsi="Arial" w:hint="default"/>
      </w:rPr>
    </w:lvl>
    <w:lvl w:ilvl="3" w:tplc="E1BECCEA" w:tentative="1">
      <w:start w:val="1"/>
      <w:numFmt w:val="bullet"/>
      <w:lvlText w:val="•"/>
      <w:lvlJc w:val="left"/>
      <w:pPr>
        <w:tabs>
          <w:tab w:val="num" w:pos="2880"/>
        </w:tabs>
        <w:ind w:left="2880" w:hanging="360"/>
      </w:pPr>
      <w:rPr>
        <w:rFonts w:ascii="Arial" w:hAnsi="Arial" w:hint="default"/>
      </w:rPr>
    </w:lvl>
    <w:lvl w:ilvl="4" w:tplc="EA288A8C" w:tentative="1">
      <w:start w:val="1"/>
      <w:numFmt w:val="bullet"/>
      <w:lvlText w:val="•"/>
      <w:lvlJc w:val="left"/>
      <w:pPr>
        <w:tabs>
          <w:tab w:val="num" w:pos="3600"/>
        </w:tabs>
        <w:ind w:left="3600" w:hanging="360"/>
      </w:pPr>
      <w:rPr>
        <w:rFonts w:ascii="Arial" w:hAnsi="Arial" w:hint="default"/>
      </w:rPr>
    </w:lvl>
    <w:lvl w:ilvl="5" w:tplc="ACB8A8F2" w:tentative="1">
      <w:start w:val="1"/>
      <w:numFmt w:val="bullet"/>
      <w:lvlText w:val="•"/>
      <w:lvlJc w:val="left"/>
      <w:pPr>
        <w:tabs>
          <w:tab w:val="num" w:pos="4320"/>
        </w:tabs>
        <w:ind w:left="4320" w:hanging="360"/>
      </w:pPr>
      <w:rPr>
        <w:rFonts w:ascii="Arial" w:hAnsi="Arial" w:hint="default"/>
      </w:rPr>
    </w:lvl>
    <w:lvl w:ilvl="6" w:tplc="C74A0668" w:tentative="1">
      <w:start w:val="1"/>
      <w:numFmt w:val="bullet"/>
      <w:lvlText w:val="•"/>
      <w:lvlJc w:val="left"/>
      <w:pPr>
        <w:tabs>
          <w:tab w:val="num" w:pos="5040"/>
        </w:tabs>
        <w:ind w:left="5040" w:hanging="360"/>
      </w:pPr>
      <w:rPr>
        <w:rFonts w:ascii="Arial" w:hAnsi="Arial" w:hint="default"/>
      </w:rPr>
    </w:lvl>
    <w:lvl w:ilvl="7" w:tplc="44F00DE8" w:tentative="1">
      <w:start w:val="1"/>
      <w:numFmt w:val="bullet"/>
      <w:lvlText w:val="•"/>
      <w:lvlJc w:val="left"/>
      <w:pPr>
        <w:tabs>
          <w:tab w:val="num" w:pos="5760"/>
        </w:tabs>
        <w:ind w:left="5760" w:hanging="360"/>
      </w:pPr>
      <w:rPr>
        <w:rFonts w:ascii="Arial" w:hAnsi="Arial" w:hint="default"/>
      </w:rPr>
    </w:lvl>
    <w:lvl w:ilvl="8" w:tplc="FDF4221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55521D6"/>
    <w:multiLevelType w:val="hybridMultilevel"/>
    <w:tmpl w:val="AA8C5B0C"/>
    <w:lvl w:ilvl="0" w:tplc="D8A28020">
      <w:start w:val="1"/>
      <w:numFmt w:val="bullet"/>
      <w:lvlText w:val=""/>
      <w:lvlJc w:val="left"/>
      <w:pPr>
        <w:ind w:left="640" w:hanging="420"/>
      </w:pPr>
      <w:rPr>
        <w:rFonts w:ascii="Wingdings" w:hAnsi="Wingdings" w:hint="default"/>
      </w:rPr>
    </w:lvl>
    <w:lvl w:ilvl="1" w:tplc="F56A683C">
      <w:numFmt w:val="bullet"/>
      <w:lvlText w:val="-"/>
      <w:lvlJc w:val="left"/>
      <w:pPr>
        <w:ind w:left="1060" w:hanging="420"/>
      </w:pPr>
      <w:rPr>
        <w:rFonts w:ascii="Times New Roman" w:eastAsia="Times New Roman" w:hAnsi="Times New Roman" w:cs="Times New Roman" w:hint="default"/>
      </w:rPr>
    </w:lvl>
    <w:lvl w:ilvl="2" w:tplc="04090005">
      <w:start w:val="1"/>
      <w:numFmt w:val="bullet"/>
      <w:lvlText w:val=""/>
      <w:lvlJc w:val="left"/>
      <w:pPr>
        <w:ind w:left="1480" w:hanging="420"/>
      </w:pPr>
      <w:rPr>
        <w:rFonts w:ascii="Wingdings" w:hAnsi="Wingdings" w:hint="default"/>
      </w:rPr>
    </w:lvl>
    <w:lvl w:ilvl="3" w:tplc="04090001">
      <w:start w:val="1"/>
      <w:numFmt w:val="bullet"/>
      <w:lvlText w:val=""/>
      <w:lvlJc w:val="left"/>
      <w:pPr>
        <w:ind w:left="1900" w:hanging="420"/>
      </w:pPr>
      <w:rPr>
        <w:rFonts w:ascii="Wingdings" w:hAnsi="Wingdings" w:hint="default"/>
      </w:rPr>
    </w:lvl>
    <w:lvl w:ilvl="4" w:tplc="04090003">
      <w:start w:val="1"/>
      <w:numFmt w:val="bullet"/>
      <w:lvlText w:val=""/>
      <w:lvlJc w:val="left"/>
      <w:pPr>
        <w:ind w:left="2320" w:hanging="420"/>
      </w:pPr>
      <w:rPr>
        <w:rFonts w:ascii="Wingdings" w:hAnsi="Wingdings" w:hint="default"/>
      </w:rPr>
    </w:lvl>
    <w:lvl w:ilvl="5" w:tplc="04090005">
      <w:start w:val="1"/>
      <w:numFmt w:val="bullet"/>
      <w:lvlText w:val=""/>
      <w:lvlJc w:val="left"/>
      <w:pPr>
        <w:ind w:left="2740" w:hanging="420"/>
      </w:pPr>
      <w:rPr>
        <w:rFonts w:ascii="Wingdings" w:hAnsi="Wingdings" w:hint="default"/>
      </w:rPr>
    </w:lvl>
    <w:lvl w:ilvl="6" w:tplc="04090001">
      <w:start w:val="1"/>
      <w:numFmt w:val="bullet"/>
      <w:lvlText w:val=""/>
      <w:lvlJc w:val="left"/>
      <w:pPr>
        <w:ind w:left="3160" w:hanging="420"/>
      </w:pPr>
      <w:rPr>
        <w:rFonts w:ascii="Wingdings" w:hAnsi="Wingdings" w:hint="default"/>
      </w:rPr>
    </w:lvl>
    <w:lvl w:ilvl="7" w:tplc="04090003">
      <w:start w:val="1"/>
      <w:numFmt w:val="bullet"/>
      <w:lvlText w:val=""/>
      <w:lvlJc w:val="left"/>
      <w:pPr>
        <w:ind w:left="3580" w:hanging="420"/>
      </w:pPr>
      <w:rPr>
        <w:rFonts w:ascii="Wingdings" w:hAnsi="Wingdings" w:hint="default"/>
      </w:rPr>
    </w:lvl>
    <w:lvl w:ilvl="8" w:tplc="04090005">
      <w:start w:val="1"/>
      <w:numFmt w:val="bullet"/>
      <w:lvlText w:val=""/>
      <w:lvlJc w:val="left"/>
      <w:pPr>
        <w:ind w:left="4000" w:hanging="420"/>
      </w:pPr>
      <w:rPr>
        <w:rFonts w:ascii="Wingdings" w:hAnsi="Wingdings" w:hint="default"/>
      </w:rPr>
    </w:lvl>
  </w:abstractNum>
  <w:abstractNum w:abstractNumId="23" w15:restartNumberingAfterBreak="0">
    <w:nsid w:val="498D75B9"/>
    <w:multiLevelType w:val="hybridMultilevel"/>
    <w:tmpl w:val="140EB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E6175F"/>
    <w:multiLevelType w:val="hybridMultilevel"/>
    <w:tmpl w:val="8A184134"/>
    <w:lvl w:ilvl="0" w:tplc="F5CE7592">
      <w:start w:val="1"/>
      <w:numFmt w:val="bullet"/>
      <w:lvlText w:val="•"/>
      <w:lvlJc w:val="left"/>
      <w:pPr>
        <w:tabs>
          <w:tab w:val="num" w:pos="644"/>
        </w:tabs>
        <w:ind w:left="644" w:hanging="360"/>
      </w:pPr>
      <w:rPr>
        <w:rFonts w:ascii="Arial" w:hAnsi="Arial" w:hint="default"/>
      </w:rPr>
    </w:lvl>
    <w:lvl w:ilvl="1" w:tplc="D3866462">
      <w:start w:val="1"/>
      <w:numFmt w:val="bullet"/>
      <w:lvlText w:val="•"/>
      <w:lvlJc w:val="left"/>
      <w:pPr>
        <w:tabs>
          <w:tab w:val="num" w:pos="1364"/>
        </w:tabs>
        <w:ind w:left="1364" w:hanging="360"/>
      </w:pPr>
      <w:rPr>
        <w:rFonts w:ascii="Arial" w:hAnsi="Arial" w:hint="default"/>
      </w:rPr>
    </w:lvl>
    <w:lvl w:ilvl="2" w:tplc="72CEE4CE" w:tentative="1">
      <w:start w:val="1"/>
      <w:numFmt w:val="bullet"/>
      <w:lvlText w:val="•"/>
      <w:lvlJc w:val="left"/>
      <w:pPr>
        <w:tabs>
          <w:tab w:val="num" w:pos="2084"/>
        </w:tabs>
        <w:ind w:left="2084" w:hanging="360"/>
      </w:pPr>
      <w:rPr>
        <w:rFonts w:ascii="Arial" w:hAnsi="Arial" w:hint="default"/>
      </w:rPr>
    </w:lvl>
    <w:lvl w:ilvl="3" w:tplc="70D62BD8" w:tentative="1">
      <w:start w:val="1"/>
      <w:numFmt w:val="bullet"/>
      <w:lvlText w:val="•"/>
      <w:lvlJc w:val="left"/>
      <w:pPr>
        <w:tabs>
          <w:tab w:val="num" w:pos="2804"/>
        </w:tabs>
        <w:ind w:left="2804" w:hanging="360"/>
      </w:pPr>
      <w:rPr>
        <w:rFonts w:ascii="Arial" w:hAnsi="Arial" w:hint="default"/>
      </w:rPr>
    </w:lvl>
    <w:lvl w:ilvl="4" w:tplc="471EC8BE" w:tentative="1">
      <w:start w:val="1"/>
      <w:numFmt w:val="bullet"/>
      <w:lvlText w:val="•"/>
      <w:lvlJc w:val="left"/>
      <w:pPr>
        <w:tabs>
          <w:tab w:val="num" w:pos="3524"/>
        </w:tabs>
        <w:ind w:left="3524" w:hanging="360"/>
      </w:pPr>
      <w:rPr>
        <w:rFonts w:ascii="Arial" w:hAnsi="Arial" w:hint="default"/>
      </w:rPr>
    </w:lvl>
    <w:lvl w:ilvl="5" w:tplc="B032204A" w:tentative="1">
      <w:start w:val="1"/>
      <w:numFmt w:val="bullet"/>
      <w:lvlText w:val="•"/>
      <w:lvlJc w:val="left"/>
      <w:pPr>
        <w:tabs>
          <w:tab w:val="num" w:pos="4244"/>
        </w:tabs>
        <w:ind w:left="4244" w:hanging="360"/>
      </w:pPr>
      <w:rPr>
        <w:rFonts w:ascii="Arial" w:hAnsi="Arial" w:hint="default"/>
      </w:rPr>
    </w:lvl>
    <w:lvl w:ilvl="6" w:tplc="434E89CA" w:tentative="1">
      <w:start w:val="1"/>
      <w:numFmt w:val="bullet"/>
      <w:lvlText w:val="•"/>
      <w:lvlJc w:val="left"/>
      <w:pPr>
        <w:tabs>
          <w:tab w:val="num" w:pos="4964"/>
        </w:tabs>
        <w:ind w:left="4964" w:hanging="360"/>
      </w:pPr>
      <w:rPr>
        <w:rFonts w:ascii="Arial" w:hAnsi="Arial" w:hint="default"/>
      </w:rPr>
    </w:lvl>
    <w:lvl w:ilvl="7" w:tplc="B366DC80" w:tentative="1">
      <w:start w:val="1"/>
      <w:numFmt w:val="bullet"/>
      <w:lvlText w:val="•"/>
      <w:lvlJc w:val="left"/>
      <w:pPr>
        <w:tabs>
          <w:tab w:val="num" w:pos="5684"/>
        </w:tabs>
        <w:ind w:left="5684" w:hanging="360"/>
      </w:pPr>
      <w:rPr>
        <w:rFonts w:ascii="Arial" w:hAnsi="Arial" w:hint="default"/>
      </w:rPr>
    </w:lvl>
    <w:lvl w:ilvl="8" w:tplc="94227D58" w:tentative="1">
      <w:start w:val="1"/>
      <w:numFmt w:val="bullet"/>
      <w:lvlText w:val="•"/>
      <w:lvlJc w:val="left"/>
      <w:pPr>
        <w:tabs>
          <w:tab w:val="num" w:pos="6404"/>
        </w:tabs>
        <w:ind w:left="6404" w:hanging="360"/>
      </w:pPr>
      <w:rPr>
        <w:rFonts w:ascii="Arial" w:hAnsi="Arial" w:hint="default"/>
      </w:rPr>
    </w:lvl>
  </w:abstractNum>
  <w:abstractNum w:abstractNumId="25" w15:restartNumberingAfterBreak="0">
    <w:nsid w:val="54A86D17"/>
    <w:multiLevelType w:val="hybridMultilevel"/>
    <w:tmpl w:val="D97E3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0F34D0"/>
    <w:multiLevelType w:val="hybridMultilevel"/>
    <w:tmpl w:val="A532F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2C466A"/>
    <w:multiLevelType w:val="hybridMultilevel"/>
    <w:tmpl w:val="23028580"/>
    <w:lvl w:ilvl="0" w:tplc="EC9A8378">
      <w:start w:val="1"/>
      <w:numFmt w:val="bullet"/>
      <w:lvlText w:val="•"/>
      <w:lvlJc w:val="left"/>
      <w:pPr>
        <w:tabs>
          <w:tab w:val="num" w:pos="360"/>
        </w:tabs>
        <w:ind w:left="360" w:hanging="360"/>
      </w:pPr>
      <w:rPr>
        <w:rFonts w:ascii="Arial" w:hAnsi="Arial" w:hint="default"/>
      </w:rPr>
    </w:lvl>
    <w:lvl w:ilvl="1" w:tplc="FB4649D4">
      <w:start w:val="188"/>
      <w:numFmt w:val="bullet"/>
      <w:lvlText w:val="–"/>
      <w:lvlJc w:val="left"/>
      <w:pPr>
        <w:tabs>
          <w:tab w:val="num" w:pos="1080"/>
        </w:tabs>
        <w:ind w:left="1080" w:hanging="360"/>
      </w:pPr>
      <w:rPr>
        <w:rFonts w:ascii="Arial" w:hAnsi="Arial" w:hint="default"/>
      </w:rPr>
    </w:lvl>
    <w:lvl w:ilvl="2" w:tplc="B576138A" w:tentative="1">
      <w:start w:val="1"/>
      <w:numFmt w:val="bullet"/>
      <w:lvlText w:val="•"/>
      <w:lvlJc w:val="left"/>
      <w:pPr>
        <w:tabs>
          <w:tab w:val="num" w:pos="1800"/>
        </w:tabs>
        <w:ind w:left="1800" w:hanging="360"/>
      </w:pPr>
      <w:rPr>
        <w:rFonts w:ascii="Arial" w:hAnsi="Arial" w:hint="default"/>
      </w:rPr>
    </w:lvl>
    <w:lvl w:ilvl="3" w:tplc="1BF0163A" w:tentative="1">
      <w:start w:val="1"/>
      <w:numFmt w:val="bullet"/>
      <w:lvlText w:val="•"/>
      <w:lvlJc w:val="left"/>
      <w:pPr>
        <w:tabs>
          <w:tab w:val="num" w:pos="2520"/>
        </w:tabs>
        <w:ind w:left="2520" w:hanging="360"/>
      </w:pPr>
      <w:rPr>
        <w:rFonts w:ascii="Arial" w:hAnsi="Arial" w:hint="default"/>
      </w:rPr>
    </w:lvl>
    <w:lvl w:ilvl="4" w:tplc="F82C4670" w:tentative="1">
      <w:start w:val="1"/>
      <w:numFmt w:val="bullet"/>
      <w:lvlText w:val="•"/>
      <w:lvlJc w:val="left"/>
      <w:pPr>
        <w:tabs>
          <w:tab w:val="num" w:pos="3240"/>
        </w:tabs>
        <w:ind w:left="3240" w:hanging="360"/>
      </w:pPr>
      <w:rPr>
        <w:rFonts w:ascii="Arial" w:hAnsi="Arial" w:hint="default"/>
      </w:rPr>
    </w:lvl>
    <w:lvl w:ilvl="5" w:tplc="85B2A522" w:tentative="1">
      <w:start w:val="1"/>
      <w:numFmt w:val="bullet"/>
      <w:lvlText w:val="•"/>
      <w:lvlJc w:val="left"/>
      <w:pPr>
        <w:tabs>
          <w:tab w:val="num" w:pos="3960"/>
        </w:tabs>
        <w:ind w:left="3960" w:hanging="360"/>
      </w:pPr>
      <w:rPr>
        <w:rFonts w:ascii="Arial" w:hAnsi="Arial" w:hint="default"/>
      </w:rPr>
    </w:lvl>
    <w:lvl w:ilvl="6" w:tplc="B96293AC" w:tentative="1">
      <w:start w:val="1"/>
      <w:numFmt w:val="bullet"/>
      <w:lvlText w:val="•"/>
      <w:lvlJc w:val="left"/>
      <w:pPr>
        <w:tabs>
          <w:tab w:val="num" w:pos="4680"/>
        </w:tabs>
        <w:ind w:left="4680" w:hanging="360"/>
      </w:pPr>
      <w:rPr>
        <w:rFonts w:ascii="Arial" w:hAnsi="Arial" w:hint="default"/>
      </w:rPr>
    </w:lvl>
    <w:lvl w:ilvl="7" w:tplc="B2CE038A" w:tentative="1">
      <w:start w:val="1"/>
      <w:numFmt w:val="bullet"/>
      <w:lvlText w:val="•"/>
      <w:lvlJc w:val="left"/>
      <w:pPr>
        <w:tabs>
          <w:tab w:val="num" w:pos="5400"/>
        </w:tabs>
        <w:ind w:left="5400" w:hanging="360"/>
      </w:pPr>
      <w:rPr>
        <w:rFonts w:ascii="Arial" w:hAnsi="Arial" w:hint="default"/>
      </w:rPr>
    </w:lvl>
    <w:lvl w:ilvl="8" w:tplc="463028EA"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A7578E6"/>
    <w:multiLevelType w:val="hybridMultilevel"/>
    <w:tmpl w:val="6F2668C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C765D70"/>
    <w:multiLevelType w:val="hybridMultilevel"/>
    <w:tmpl w:val="D60E8362"/>
    <w:lvl w:ilvl="0" w:tplc="28EC57CE">
      <w:start w:val="1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F017F4"/>
    <w:multiLevelType w:val="hybridMultilevel"/>
    <w:tmpl w:val="72D0FFA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66C60902"/>
    <w:multiLevelType w:val="hybridMultilevel"/>
    <w:tmpl w:val="0E54FBF2"/>
    <w:lvl w:ilvl="0" w:tplc="160652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A07641E"/>
    <w:multiLevelType w:val="hybridMultilevel"/>
    <w:tmpl w:val="353C9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6165D2"/>
    <w:multiLevelType w:val="hybridMultilevel"/>
    <w:tmpl w:val="1278CF28"/>
    <w:lvl w:ilvl="0" w:tplc="5FD4DC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565170"/>
    <w:multiLevelType w:val="hybridMultilevel"/>
    <w:tmpl w:val="FEDA832A"/>
    <w:lvl w:ilvl="0" w:tplc="D8A28020">
      <w:start w:val="1"/>
      <w:numFmt w:val="bullet"/>
      <w:lvlText w:val=""/>
      <w:lvlJc w:val="left"/>
      <w:pPr>
        <w:ind w:left="640" w:hanging="420"/>
      </w:pPr>
      <w:rPr>
        <w:rFonts w:ascii="Wingdings" w:hAnsi="Wingdings" w:hint="default"/>
      </w:rPr>
    </w:lvl>
    <w:lvl w:ilvl="1" w:tplc="04090003">
      <w:start w:val="1"/>
      <w:numFmt w:val="bullet"/>
      <w:lvlText w:val=""/>
      <w:lvlJc w:val="left"/>
      <w:pPr>
        <w:ind w:left="1060" w:hanging="420"/>
      </w:pPr>
      <w:rPr>
        <w:rFonts w:ascii="Wingdings" w:hAnsi="Wingdings" w:hint="default"/>
      </w:rPr>
    </w:lvl>
    <w:lvl w:ilvl="2" w:tplc="04090005">
      <w:start w:val="1"/>
      <w:numFmt w:val="bullet"/>
      <w:lvlText w:val=""/>
      <w:lvlJc w:val="left"/>
      <w:pPr>
        <w:ind w:left="1480" w:hanging="420"/>
      </w:pPr>
      <w:rPr>
        <w:rFonts w:ascii="Wingdings" w:hAnsi="Wingdings" w:hint="default"/>
      </w:rPr>
    </w:lvl>
    <w:lvl w:ilvl="3" w:tplc="04090001">
      <w:start w:val="1"/>
      <w:numFmt w:val="bullet"/>
      <w:lvlText w:val=""/>
      <w:lvlJc w:val="left"/>
      <w:pPr>
        <w:ind w:left="1900" w:hanging="420"/>
      </w:pPr>
      <w:rPr>
        <w:rFonts w:ascii="Wingdings" w:hAnsi="Wingdings" w:hint="default"/>
      </w:rPr>
    </w:lvl>
    <w:lvl w:ilvl="4" w:tplc="04090003">
      <w:start w:val="1"/>
      <w:numFmt w:val="bullet"/>
      <w:lvlText w:val=""/>
      <w:lvlJc w:val="left"/>
      <w:pPr>
        <w:ind w:left="2320" w:hanging="420"/>
      </w:pPr>
      <w:rPr>
        <w:rFonts w:ascii="Wingdings" w:hAnsi="Wingdings" w:hint="default"/>
      </w:rPr>
    </w:lvl>
    <w:lvl w:ilvl="5" w:tplc="04090005">
      <w:start w:val="1"/>
      <w:numFmt w:val="bullet"/>
      <w:lvlText w:val=""/>
      <w:lvlJc w:val="left"/>
      <w:pPr>
        <w:ind w:left="2740" w:hanging="420"/>
      </w:pPr>
      <w:rPr>
        <w:rFonts w:ascii="Wingdings" w:hAnsi="Wingdings" w:hint="default"/>
      </w:rPr>
    </w:lvl>
    <w:lvl w:ilvl="6" w:tplc="04090001">
      <w:start w:val="1"/>
      <w:numFmt w:val="bullet"/>
      <w:lvlText w:val=""/>
      <w:lvlJc w:val="left"/>
      <w:pPr>
        <w:ind w:left="3160" w:hanging="420"/>
      </w:pPr>
      <w:rPr>
        <w:rFonts w:ascii="Wingdings" w:hAnsi="Wingdings" w:hint="default"/>
      </w:rPr>
    </w:lvl>
    <w:lvl w:ilvl="7" w:tplc="04090003">
      <w:start w:val="1"/>
      <w:numFmt w:val="bullet"/>
      <w:lvlText w:val=""/>
      <w:lvlJc w:val="left"/>
      <w:pPr>
        <w:ind w:left="3580" w:hanging="420"/>
      </w:pPr>
      <w:rPr>
        <w:rFonts w:ascii="Wingdings" w:hAnsi="Wingdings" w:hint="default"/>
      </w:rPr>
    </w:lvl>
    <w:lvl w:ilvl="8" w:tplc="04090005">
      <w:start w:val="1"/>
      <w:numFmt w:val="bullet"/>
      <w:lvlText w:val=""/>
      <w:lvlJc w:val="left"/>
      <w:pPr>
        <w:ind w:left="4000" w:hanging="420"/>
      </w:pPr>
      <w:rPr>
        <w:rFonts w:ascii="Wingdings" w:hAnsi="Wingdings" w:hint="default"/>
      </w:rPr>
    </w:lvl>
  </w:abstractNum>
  <w:abstractNum w:abstractNumId="35" w15:restartNumberingAfterBreak="0">
    <w:nsid w:val="73C94700"/>
    <w:multiLevelType w:val="hybridMultilevel"/>
    <w:tmpl w:val="34C6FED2"/>
    <w:lvl w:ilvl="0" w:tplc="5FD4DC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FAD5CEB"/>
    <w:multiLevelType w:val="hybridMultilevel"/>
    <w:tmpl w:val="4CFCCA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36"/>
  </w:num>
  <w:num w:numId="3">
    <w:abstractNumId w:val="14"/>
  </w:num>
  <w:num w:numId="4">
    <w:abstractNumId w:val="0"/>
  </w:num>
  <w:num w:numId="5">
    <w:abstractNumId w:val="6"/>
  </w:num>
  <w:num w:numId="6">
    <w:abstractNumId w:val="3"/>
  </w:num>
  <w:num w:numId="7">
    <w:abstractNumId w:val="24"/>
  </w:num>
  <w:num w:numId="8">
    <w:abstractNumId w:val="18"/>
  </w:num>
  <w:num w:numId="9">
    <w:abstractNumId w:val="29"/>
  </w:num>
  <w:num w:numId="10">
    <w:abstractNumId w:val="1"/>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30"/>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34"/>
  </w:num>
  <w:num w:numId="18">
    <w:abstractNumId w:val="22"/>
  </w:num>
  <w:num w:numId="19">
    <w:abstractNumId w:val="2"/>
  </w:num>
  <w:num w:numId="20">
    <w:abstractNumId w:val="19"/>
  </w:num>
  <w:num w:numId="21">
    <w:abstractNumId w:val="26"/>
  </w:num>
  <w:num w:numId="22">
    <w:abstractNumId w:val="32"/>
  </w:num>
  <w:num w:numId="23">
    <w:abstractNumId w:val="28"/>
  </w:num>
  <w:num w:numId="24">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5"/>
  </w:num>
  <w:num w:numId="29">
    <w:abstractNumId w:val="20"/>
  </w:num>
  <w:num w:numId="30">
    <w:abstractNumId w:val="11"/>
  </w:num>
  <w:num w:numId="31">
    <w:abstractNumId w:val="9"/>
  </w:num>
  <w:num w:numId="32">
    <w:abstractNumId w:val="33"/>
  </w:num>
  <w:num w:numId="33">
    <w:abstractNumId w:val="35"/>
  </w:num>
  <w:num w:numId="34">
    <w:abstractNumId w:val="12"/>
  </w:num>
  <w:num w:numId="35">
    <w:abstractNumId w:val="35"/>
  </w:num>
  <w:num w:numId="36">
    <w:abstractNumId w:val="10"/>
  </w:num>
  <w:num w:numId="37">
    <w:abstractNumId w:val="15"/>
  </w:num>
  <w:num w:numId="38">
    <w:abstractNumId w:val="27"/>
  </w:num>
  <w:num w:numId="39">
    <w:abstractNumId w:val="7"/>
  </w:num>
  <w:num w:numId="40">
    <w:abstractNumId w:val="21"/>
  </w:num>
  <w:num w:numId="41">
    <w:abstractNumId w:val="25"/>
  </w:num>
  <w:num w:numId="42">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ja-JP" w:vendorID="64" w:dllVersion="6" w:nlCheck="1" w:checkStyle="1"/>
  <w:activeWritingStyle w:appName="MSWord" w:lang="ko-KR"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EDE"/>
    <w:rsid w:val="00003E20"/>
    <w:rsid w:val="00004AC8"/>
    <w:rsid w:val="000053BA"/>
    <w:rsid w:val="00006055"/>
    <w:rsid w:val="00006AD4"/>
    <w:rsid w:val="00006CB9"/>
    <w:rsid w:val="000074C4"/>
    <w:rsid w:val="000079A6"/>
    <w:rsid w:val="00010E2C"/>
    <w:rsid w:val="00011875"/>
    <w:rsid w:val="00011BB2"/>
    <w:rsid w:val="00012505"/>
    <w:rsid w:val="00012685"/>
    <w:rsid w:val="00012B18"/>
    <w:rsid w:val="00012C4F"/>
    <w:rsid w:val="000131D1"/>
    <w:rsid w:val="00013455"/>
    <w:rsid w:val="000134E3"/>
    <w:rsid w:val="00013632"/>
    <w:rsid w:val="00013F5E"/>
    <w:rsid w:val="0001403F"/>
    <w:rsid w:val="0001487F"/>
    <w:rsid w:val="00014F35"/>
    <w:rsid w:val="00015F98"/>
    <w:rsid w:val="000164D9"/>
    <w:rsid w:val="000166AC"/>
    <w:rsid w:val="00017B7F"/>
    <w:rsid w:val="00017EDA"/>
    <w:rsid w:val="000212A5"/>
    <w:rsid w:val="00021EDF"/>
    <w:rsid w:val="00021FA4"/>
    <w:rsid w:val="00022B8C"/>
    <w:rsid w:val="00023530"/>
    <w:rsid w:val="00023742"/>
    <w:rsid w:val="00024AEF"/>
    <w:rsid w:val="00026736"/>
    <w:rsid w:val="00026C65"/>
    <w:rsid w:val="00027755"/>
    <w:rsid w:val="00027864"/>
    <w:rsid w:val="0002789E"/>
    <w:rsid w:val="00030048"/>
    <w:rsid w:val="0003072D"/>
    <w:rsid w:val="000314CD"/>
    <w:rsid w:val="0003332B"/>
    <w:rsid w:val="00033544"/>
    <w:rsid w:val="00033D69"/>
    <w:rsid w:val="0003479E"/>
    <w:rsid w:val="00035684"/>
    <w:rsid w:val="00035691"/>
    <w:rsid w:val="0003767C"/>
    <w:rsid w:val="00040F4F"/>
    <w:rsid w:val="0004132D"/>
    <w:rsid w:val="00041C9D"/>
    <w:rsid w:val="00044CFA"/>
    <w:rsid w:val="000454FA"/>
    <w:rsid w:val="000459C7"/>
    <w:rsid w:val="00046630"/>
    <w:rsid w:val="00046C80"/>
    <w:rsid w:val="00050112"/>
    <w:rsid w:val="00050276"/>
    <w:rsid w:val="00050466"/>
    <w:rsid w:val="000505CC"/>
    <w:rsid w:val="000510F6"/>
    <w:rsid w:val="000511F9"/>
    <w:rsid w:val="00051B32"/>
    <w:rsid w:val="0005230E"/>
    <w:rsid w:val="00052850"/>
    <w:rsid w:val="000528A2"/>
    <w:rsid w:val="00052BBA"/>
    <w:rsid w:val="00053588"/>
    <w:rsid w:val="00054D9D"/>
    <w:rsid w:val="00055676"/>
    <w:rsid w:val="00056544"/>
    <w:rsid w:val="00060CAB"/>
    <w:rsid w:val="00060D8E"/>
    <w:rsid w:val="00062159"/>
    <w:rsid w:val="00063C87"/>
    <w:rsid w:val="00063D9E"/>
    <w:rsid w:val="00064AD3"/>
    <w:rsid w:val="00065088"/>
    <w:rsid w:val="000652D3"/>
    <w:rsid w:val="000654A0"/>
    <w:rsid w:val="00065E94"/>
    <w:rsid w:val="000701AD"/>
    <w:rsid w:val="000707CA"/>
    <w:rsid w:val="00070D21"/>
    <w:rsid w:val="00071566"/>
    <w:rsid w:val="000717FB"/>
    <w:rsid w:val="000719BF"/>
    <w:rsid w:val="0007208A"/>
    <w:rsid w:val="0007213C"/>
    <w:rsid w:val="00072A5B"/>
    <w:rsid w:val="00072BBA"/>
    <w:rsid w:val="00072FF5"/>
    <w:rsid w:val="000730DC"/>
    <w:rsid w:val="000737CB"/>
    <w:rsid w:val="00075939"/>
    <w:rsid w:val="00075965"/>
    <w:rsid w:val="00075FDA"/>
    <w:rsid w:val="00076386"/>
    <w:rsid w:val="00076D82"/>
    <w:rsid w:val="000808B2"/>
    <w:rsid w:val="00081EC2"/>
    <w:rsid w:val="00082154"/>
    <w:rsid w:val="0008322B"/>
    <w:rsid w:val="00083800"/>
    <w:rsid w:val="00084A65"/>
    <w:rsid w:val="0008559A"/>
    <w:rsid w:val="000902C2"/>
    <w:rsid w:val="00091A92"/>
    <w:rsid w:val="000925DE"/>
    <w:rsid w:val="00093C49"/>
    <w:rsid w:val="00095A80"/>
    <w:rsid w:val="000973E1"/>
    <w:rsid w:val="000A1402"/>
    <w:rsid w:val="000A16D7"/>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0EC"/>
    <w:rsid w:val="000B3B91"/>
    <w:rsid w:val="000B4207"/>
    <w:rsid w:val="000B4A63"/>
    <w:rsid w:val="000B4B1B"/>
    <w:rsid w:val="000B50C3"/>
    <w:rsid w:val="000B5AC9"/>
    <w:rsid w:val="000B5F0A"/>
    <w:rsid w:val="000B6A16"/>
    <w:rsid w:val="000B6D65"/>
    <w:rsid w:val="000C0D77"/>
    <w:rsid w:val="000C1D59"/>
    <w:rsid w:val="000C2B09"/>
    <w:rsid w:val="000C30CF"/>
    <w:rsid w:val="000C501D"/>
    <w:rsid w:val="000C5CBA"/>
    <w:rsid w:val="000C66E9"/>
    <w:rsid w:val="000C74BA"/>
    <w:rsid w:val="000C7531"/>
    <w:rsid w:val="000C7BA7"/>
    <w:rsid w:val="000C7C3F"/>
    <w:rsid w:val="000D0BD6"/>
    <w:rsid w:val="000D0C61"/>
    <w:rsid w:val="000D1440"/>
    <w:rsid w:val="000D2360"/>
    <w:rsid w:val="000D27AD"/>
    <w:rsid w:val="000D29D1"/>
    <w:rsid w:val="000D2B0A"/>
    <w:rsid w:val="000D3286"/>
    <w:rsid w:val="000D344D"/>
    <w:rsid w:val="000D40E7"/>
    <w:rsid w:val="000D584F"/>
    <w:rsid w:val="000D6E34"/>
    <w:rsid w:val="000D76BC"/>
    <w:rsid w:val="000D7750"/>
    <w:rsid w:val="000E071E"/>
    <w:rsid w:val="000E0DEE"/>
    <w:rsid w:val="000E175F"/>
    <w:rsid w:val="000E181D"/>
    <w:rsid w:val="000E27AA"/>
    <w:rsid w:val="000E337A"/>
    <w:rsid w:val="000E34FD"/>
    <w:rsid w:val="000E4350"/>
    <w:rsid w:val="000E4376"/>
    <w:rsid w:val="000E43FC"/>
    <w:rsid w:val="000E4408"/>
    <w:rsid w:val="000E4B4F"/>
    <w:rsid w:val="000E53AB"/>
    <w:rsid w:val="000E5716"/>
    <w:rsid w:val="000E6389"/>
    <w:rsid w:val="000E679B"/>
    <w:rsid w:val="000E7A79"/>
    <w:rsid w:val="000F15B2"/>
    <w:rsid w:val="000F19DE"/>
    <w:rsid w:val="000F2E1F"/>
    <w:rsid w:val="000F37B0"/>
    <w:rsid w:val="000F4595"/>
    <w:rsid w:val="000F46D2"/>
    <w:rsid w:val="000F4CB2"/>
    <w:rsid w:val="000F4CBE"/>
    <w:rsid w:val="000F4E44"/>
    <w:rsid w:val="000F4E90"/>
    <w:rsid w:val="000F568D"/>
    <w:rsid w:val="000F68D0"/>
    <w:rsid w:val="000F6B15"/>
    <w:rsid w:val="000F6FE4"/>
    <w:rsid w:val="000F7782"/>
    <w:rsid w:val="0010170B"/>
    <w:rsid w:val="00101C4F"/>
    <w:rsid w:val="00101CB4"/>
    <w:rsid w:val="00102B89"/>
    <w:rsid w:val="00102C9F"/>
    <w:rsid w:val="00103345"/>
    <w:rsid w:val="001068D2"/>
    <w:rsid w:val="001068ED"/>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C84"/>
    <w:rsid w:val="00142DE2"/>
    <w:rsid w:val="00144C87"/>
    <w:rsid w:val="001467B1"/>
    <w:rsid w:val="00146CA8"/>
    <w:rsid w:val="00150175"/>
    <w:rsid w:val="001502C8"/>
    <w:rsid w:val="00151011"/>
    <w:rsid w:val="00151224"/>
    <w:rsid w:val="0015130F"/>
    <w:rsid w:val="001532BA"/>
    <w:rsid w:val="0015389C"/>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67589"/>
    <w:rsid w:val="00170A50"/>
    <w:rsid w:val="00174FFD"/>
    <w:rsid w:val="001759CA"/>
    <w:rsid w:val="00176D74"/>
    <w:rsid w:val="0017726A"/>
    <w:rsid w:val="00177502"/>
    <w:rsid w:val="00177DD3"/>
    <w:rsid w:val="00180278"/>
    <w:rsid w:val="001807F2"/>
    <w:rsid w:val="00181844"/>
    <w:rsid w:val="001818A7"/>
    <w:rsid w:val="00182725"/>
    <w:rsid w:val="001829C8"/>
    <w:rsid w:val="00184533"/>
    <w:rsid w:val="0018571A"/>
    <w:rsid w:val="00186904"/>
    <w:rsid w:val="00186B0A"/>
    <w:rsid w:val="001905BD"/>
    <w:rsid w:val="00190B2B"/>
    <w:rsid w:val="00192FE6"/>
    <w:rsid w:val="0019360B"/>
    <w:rsid w:val="00193986"/>
    <w:rsid w:val="00193B08"/>
    <w:rsid w:val="00194570"/>
    <w:rsid w:val="00196BF4"/>
    <w:rsid w:val="001972DA"/>
    <w:rsid w:val="001976AA"/>
    <w:rsid w:val="00197D11"/>
    <w:rsid w:val="001A02F6"/>
    <w:rsid w:val="001A15C6"/>
    <w:rsid w:val="001A2681"/>
    <w:rsid w:val="001A5510"/>
    <w:rsid w:val="001A5C7B"/>
    <w:rsid w:val="001A5E19"/>
    <w:rsid w:val="001A63D8"/>
    <w:rsid w:val="001B01FA"/>
    <w:rsid w:val="001B0832"/>
    <w:rsid w:val="001B18A7"/>
    <w:rsid w:val="001B2762"/>
    <w:rsid w:val="001B36FC"/>
    <w:rsid w:val="001B41ED"/>
    <w:rsid w:val="001B4607"/>
    <w:rsid w:val="001B762E"/>
    <w:rsid w:val="001B7E0C"/>
    <w:rsid w:val="001C0674"/>
    <w:rsid w:val="001C1405"/>
    <w:rsid w:val="001C1B93"/>
    <w:rsid w:val="001C1DCA"/>
    <w:rsid w:val="001C226F"/>
    <w:rsid w:val="001C5296"/>
    <w:rsid w:val="001C66AC"/>
    <w:rsid w:val="001C6754"/>
    <w:rsid w:val="001C77F0"/>
    <w:rsid w:val="001D154D"/>
    <w:rsid w:val="001D172E"/>
    <w:rsid w:val="001D30C9"/>
    <w:rsid w:val="001D445B"/>
    <w:rsid w:val="001D46A0"/>
    <w:rsid w:val="001D50C2"/>
    <w:rsid w:val="001D753C"/>
    <w:rsid w:val="001D7CA4"/>
    <w:rsid w:val="001D7E58"/>
    <w:rsid w:val="001E13B3"/>
    <w:rsid w:val="001E2A34"/>
    <w:rsid w:val="001E30A0"/>
    <w:rsid w:val="001E3DE1"/>
    <w:rsid w:val="001E4B9E"/>
    <w:rsid w:val="001E4D4F"/>
    <w:rsid w:val="001E54F9"/>
    <w:rsid w:val="001E57CF"/>
    <w:rsid w:val="001E5981"/>
    <w:rsid w:val="001E6826"/>
    <w:rsid w:val="001E6E8E"/>
    <w:rsid w:val="001E74BA"/>
    <w:rsid w:val="001E7B9F"/>
    <w:rsid w:val="001F01FB"/>
    <w:rsid w:val="001F0658"/>
    <w:rsid w:val="001F098E"/>
    <w:rsid w:val="001F0C29"/>
    <w:rsid w:val="001F0E92"/>
    <w:rsid w:val="001F1987"/>
    <w:rsid w:val="001F21BC"/>
    <w:rsid w:val="001F22D5"/>
    <w:rsid w:val="001F23BD"/>
    <w:rsid w:val="001F34DA"/>
    <w:rsid w:val="001F4658"/>
    <w:rsid w:val="001F4DAC"/>
    <w:rsid w:val="001F5019"/>
    <w:rsid w:val="001F51C5"/>
    <w:rsid w:val="001F65B0"/>
    <w:rsid w:val="001F67AA"/>
    <w:rsid w:val="001F6AFD"/>
    <w:rsid w:val="001F738D"/>
    <w:rsid w:val="001F7599"/>
    <w:rsid w:val="0020321E"/>
    <w:rsid w:val="002036C9"/>
    <w:rsid w:val="00204A2A"/>
    <w:rsid w:val="00204B22"/>
    <w:rsid w:val="00204B3A"/>
    <w:rsid w:val="0020535A"/>
    <w:rsid w:val="002055CB"/>
    <w:rsid w:val="002059EF"/>
    <w:rsid w:val="00205BDB"/>
    <w:rsid w:val="0020602E"/>
    <w:rsid w:val="00206955"/>
    <w:rsid w:val="00206A79"/>
    <w:rsid w:val="00210309"/>
    <w:rsid w:val="00210BDB"/>
    <w:rsid w:val="00211519"/>
    <w:rsid w:val="00211834"/>
    <w:rsid w:val="0021224B"/>
    <w:rsid w:val="00212901"/>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0878"/>
    <w:rsid w:val="002312F4"/>
    <w:rsid w:val="002313A2"/>
    <w:rsid w:val="00231FC7"/>
    <w:rsid w:val="00232930"/>
    <w:rsid w:val="00232A95"/>
    <w:rsid w:val="00232C3F"/>
    <w:rsid w:val="00232DD9"/>
    <w:rsid w:val="0023308F"/>
    <w:rsid w:val="00233403"/>
    <w:rsid w:val="00233440"/>
    <w:rsid w:val="00233D0E"/>
    <w:rsid w:val="00234E13"/>
    <w:rsid w:val="00236450"/>
    <w:rsid w:val="002374C8"/>
    <w:rsid w:val="0023765A"/>
    <w:rsid w:val="00237921"/>
    <w:rsid w:val="00237CA6"/>
    <w:rsid w:val="00240342"/>
    <w:rsid w:val="00241311"/>
    <w:rsid w:val="002418E8"/>
    <w:rsid w:val="00242E22"/>
    <w:rsid w:val="0024336B"/>
    <w:rsid w:val="00243398"/>
    <w:rsid w:val="00244194"/>
    <w:rsid w:val="0024424F"/>
    <w:rsid w:val="00244D28"/>
    <w:rsid w:val="00245689"/>
    <w:rsid w:val="00245720"/>
    <w:rsid w:val="00245A6F"/>
    <w:rsid w:val="00245FD5"/>
    <w:rsid w:val="002477DF"/>
    <w:rsid w:val="00247929"/>
    <w:rsid w:val="00251AD6"/>
    <w:rsid w:val="00252C17"/>
    <w:rsid w:val="00252C9B"/>
    <w:rsid w:val="0025307F"/>
    <w:rsid w:val="002551BD"/>
    <w:rsid w:val="00255C70"/>
    <w:rsid w:val="00256811"/>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1A6E"/>
    <w:rsid w:val="00273177"/>
    <w:rsid w:val="002738FB"/>
    <w:rsid w:val="0027455B"/>
    <w:rsid w:val="002748D3"/>
    <w:rsid w:val="00275074"/>
    <w:rsid w:val="002763E9"/>
    <w:rsid w:val="00276736"/>
    <w:rsid w:val="00276F4E"/>
    <w:rsid w:val="0027710B"/>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97B18"/>
    <w:rsid w:val="002A02C9"/>
    <w:rsid w:val="002A1062"/>
    <w:rsid w:val="002A2012"/>
    <w:rsid w:val="002A2413"/>
    <w:rsid w:val="002A2F5E"/>
    <w:rsid w:val="002A352A"/>
    <w:rsid w:val="002A607D"/>
    <w:rsid w:val="002B031C"/>
    <w:rsid w:val="002B132E"/>
    <w:rsid w:val="002B1499"/>
    <w:rsid w:val="002B2813"/>
    <w:rsid w:val="002B292E"/>
    <w:rsid w:val="002B2D29"/>
    <w:rsid w:val="002B3B31"/>
    <w:rsid w:val="002B3BBD"/>
    <w:rsid w:val="002C0C4B"/>
    <w:rsid w:val="002C1E60"/>
    <w:rsid w:val="002C1EEA"/>
    <w:rsid w:val="002C47AD"/>
    <w:rsid w:val="002C5510"/>
    <w:rsid w:val="002C6034"/>
    <w:rsid w:val="002C635B"/>
    <w:rsid w:val="002C7276"/>
    <w:rsid w:val="002C770F"/>
    <w:rsid w:val="002C7CFF"/>
    <w:rsid w:val="002D0BC6"/>
    <w:rsid w:val="002D12DB"/>
    <w:rsid w:val="002D17C5"/>
    <w:rsid w:val="002D188A"/>
    <w:rsid w:val="002D21A2"/>
    <w:rsid w:val="002D365F"/>
    <w:rsid w:val="002D51DF"/>
    <w:rsid w:val="002D6892"/>
    <w:rsid w:val="002D68C2"/>
    <w:rsid w:val="002D7684"/>
    <w:rsid w:val="002D787D"/>
    <w:rsid w:val="002D7C86"/>
    <w:rsid w:val="002D7E90"/>
    <w:rsid w:val="002E0692"/>
    <w:rsid w:val="002E1452"/>
    <w:rsid w:val="002E1D74"/>
    <w:rsid w:val="002E2943"/>
    <w:rsid w:val="002E2CF1"/>
    <w:rsid w:val="002E34AF"/>
    <w:rsid w:val="002E4AAC"/>
    <w:rsid w:val="002E53DE"/>
    <w:rsid w:val="002E563B"/>
    <w:rsid w:val="002E5F76"/>
    <w:rsid w:val="002E62D2"/>
    <w:rsid w:val="002E734F"/>
    <w:rsid w:val="002E74AF"/>
    <w:rsid w:val="002E758C"/>
    <w:rsid w:val="002F1038"/>
    <w:rsid w:val="002F22FF"/>
    <w:rsid w:val="002F2D8F"/>
    <w:rsid w:val="002F4987"/>
    <w:rsid w:val="002F4C2C"/>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08E5"/>
    <w:rsid w:val="00321154"/>
    <w:rsid w:val="003211B0"/>
    <w:rsid w:val="00321EDA"/>
    <w:rsid w:val="003224AA"/>
    <w:rsid w:val="003224E7"/>
    <w:rsid w:val="0032374E"/>
    <w:rsid w:val="00324C23"/>
    <w:rsid w:val="00325D7A"/>
    <w:rsid w:val="00326145"/>
    <w:rsid w:val="00327163"/>
    <w:rsid w:val="00327305"/>
    <w:rsid w:val="00327531"/>
    <w:rsid w:val="00330187"/>
    <w:rsid w:val="00331C77"/>
    <w:rsid w:val="00331DB6"/>
    <w:rsid w:val="00331F96"/>
    <w:rsid w:val="00332B55"/>
    <w:rsid w:val="00333481"/>
    <w:rsid w:val="003336B9"/>
    <w:rsid w:val="0033476C"/>
    <w:rsid w:val="00334AAF"/>
    <w:rsid w:val="00335EA8"/>
    <w:rsid w:val="003363DD"/>
    <w:rsid w:val="00337810"/>
    <w:rsid w:val="00340361"/>
    <w:rsid w:val="00340795"/>
    <w:rsid w:val="0034111C"/>
    <w:rsid w:val="00341E60"/>
    <w:rsid w:val="0034217F"/>
    <w:rsid w:val="00342AD2"/>
    <w:rsid w:val="00343954"/>
    <w:rsid w:val="00345405"/>
    <w:rsid w:val="003455E4"/>
    <w:rsid w:val="00345DDD"/>
    <w:rsid w:val="00346283"/>
    <w:rsid w:val="00346FED"/>
    <w:rsid w:val="00351E01"/>
    <w:rsid w:val="00352968"/>
    <w:rsid w:val="0035298B"/>
    <w:rsid w:val="00352D21"/>
    <w:rsid w:val="0035345C"/>
    <w:rsid w:val="0035443D"/>
    <w:rsid w:val="00354966"/>
    <w:rsid w:val="00354AA2"/>
    <w:rsid w:val="00354FEE"/>
    <w:rsid w:val="0035507B"/>
    <w:rsid w:val="00356275"/>
    <w:rsid w:val="00356C0B"/>
    <w:rsid w:val="00357B9C"/>
    <w:rsid w:val="00357F87"/>
    <w:rsid w:val="00361412"/>
    <w:rsid w:val="003615CA"/>
    <w:rsid w:val="00363B2C"/>
    <w:rsid w:val="003642A6"/>
    <w:rsid w:val="00364763"/>
    <w:rsid w:val="00365C3D"/>
    <w:rsid w:val="00366C1B"/>
    <w:rsid w:val="00367337"/>
    <w:rsid w:val="00367367"/>
    <w:rsid w:val="00367CE4"/>
    <w:rsid w:val="00367FD8"/>
    <w:rsid w:val="0037004E"/>
    <w:rsid w:val="00370B63"/>
    <w:rsid w:val="00370FCC"/>
    <w:rsid w:val="003711AF"/>
    <w:rsid w:val="00373051"/>
    <w:rsid w:val="003735C6"/>
    <w:rsid w:val="00374848"/>
    <w:rsid w:val="003757A1"/>
    <w:rsid w:val="00375D09"/>
    <w:rsid w:val="003762DC"/>
    <w:rsid w:val="00376C6F"/>
    <w:rsid w:val="0037739D"/>
    <w:rsid w:val="0037751C"/>
    <w:rsid w:val="00380B66"/>
    <w:rsid w:val="00380F3F"/>
    <w:rsid w:val="00381953"/>
    <w:rsid w:val="00381CBB"/>
    <w:rsid w:val="00382232"/>
    <w:rsid w:val="00382F1A"/>
    <w:rsid w:val="00383282"/>
    <w:rsid w:val="00383422"/>
    <w:rsid w:val="00383658"/>
    <w:rsid w:val="0038412E"/>
    <w:rsid w:val="00386053"/>
    <w:rsid w:val="003866CB"/>
    <w:rsid w:val="0038771D"/>
    <w:rsid w:val="00390935"/>
    <w:rsid w:val="00392491"/>
    <w:rsid w:val="003935B0"/>
    <w:rsid w:val="00393E44"/>
    <w:rsid w:val="00394301"/>
    <w:rsid w:val="0039747B"/>
    <w:rsid w:val="00397AB6"/>
    <w:rsid w:val="00397ACA"/>
    <w:rsid w:val="00397E67"/>
    <w:rsid w:val="003A070B"/>
    <w:rsid w:val="003A0CB4"/>
    <w:rsid w:val="003A10C3"/>
    <w:rsid w:val="003A44FB"/>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5A71"/>
    <w:rsid w:val="003B6EC0"/>
    <w:rsid w:val="003B75B9"/>
    <w:rsid w:val="003C087B"/>
    <w:rsid w:val="003C0DA2"/>
    <w:rsid w:val="003C1A18"/>
    <w:rsid w:val="003C3A65"/>
    <w:rsid w:val="003C5C41"/>
    <w:rsid w:val="003C669D"/>
    <w:rsid w:val="003C6877"/>
    <w:rsid w:val="003C7062"/>
    <w:rsid w:val="003C7461"/>
    <w:rsid w:val="003D0788"/>
    <w:rsid w:val="003D0ED8"/>
    <w:rsid w:val="003D132A"/>
    <w:rsid w:val="003D1517"/>
    <w:rsid w:val="003D153C"/>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576"/>
    <w:rsid w:val="003E47D4"/>
    <w:rsid w:val="003E50B9"/>
    <w:rsid w:val="003E64A9"/>
    <w:rsid w:val="003E7905"/>
    <w:rsid w:val="003F0336"/>
    <w:rsid w:val="003F3FCC"/>
    <w:rsid w:val="003F5547"/>
    <w:rsid w:val="003F59DD"/>
    <w:rsid w:val="003F5C40"/>
    <w:rsid w:val="003F6371"/>
    <w:rsid w:val="003F6E12"/>
    <w:rsid w:val="003F6F8B"/>
    <w:rsid w:val="003F75ED"/>
    <w:rsid w:val="004002B7"/>
    <w:rsid w:val="00400F31"/>
    <w:rsid w:val="004023BA"/>
    <w:rsid w:val="00406B4D"/>
    <w:rsid w:val="0040750B"/>
    <w:rsid w:val="0041443C"/>
    <w:rsid w:val="0041488F"/>
    <w:rsid w:val="004154F7"/>
    <w:rsid w:val="00416D44"/>
    <w:rsid w:val="004176FF"/>
    <w:rsid w:val="00417A1E"/>
    <w:rsid w:val="00421A27"/>
    <w:rsid w:val="00421D0A"/>
    <w:rsid w:val="004226C3"/>
    <w:rsid w:val="004241C5"/>
    <w:rsid w:val="00424FA7"/>
    <w:rsid w:val="0042558C"/>
    <w:rsid w:val="00425D2C"/>
    <w:rsid w:val="00426A87"/>
    <w:rsid w:val="00427007"/>
    <w:rsid w:val="004309D8"/>
    <w:rsid w:val="004313D1"/>
    <w:rsid w:val="00432110"/>
    <w:rsid w:val="004328EE"/>
    <w:rsid w:val="00433EBE"/>
    <w:rsid w:val="00434406"/>
    <w:rsid w:val="00435CB0"/>
    <w:rsid w:val="00440FED"/>
    <w:rsid w:val="00441B92"/>
    <w:rsid w:val="00443A9F"/>
    <w:rsid w:val="0044474B"/>
    <w:rsid w:val="00445FF7"/>
    <w:rsid w:val="004500BF"/>
    <w:rsid w:val="004508A8"/>
    <w:rsid w:val="004527D2"/>
    <w:rsid w:val="00452CA7"/>
    <w:rsid w:val="00453341"/>
    <w:rsid w:val="004545C6"/>
    <w:rsid w:val="00454DCA"/>
    <w:rsid w:val="00454E26"/>
    <w:rsid w:val="00456544"/>
    <w:rsid w:val="00456649"/>
    <w:rsid w:val="004567B7"/>
    <w:rsid w:val="00456856"/>
    <w:rsid w:val="004571EF"/>
    <w:rsid w:val="00460010"/>
    <w:rsid w:val="0046047A"/>
    <w:rsid w:val="00461210"/>
    <w:rsid w:val="00461700"/>
    <w:rsid w:val="00461AAC"/>
    <w:rsid w:val="00462490"/>
    <w:rsid w:val="00462AC9"/>
    <w:rsid w:val="00463DC3"/>
    <w:rsid w:val="00464F4C"/>
    <w:rsid w:val="00465299"/>
    <w:rsid w:val="00466A0F"/>
    <w:rsid w:val="0046795B"/>
    <w:rsid w:val="004708C0"/>
    <w:rsid w:val="0047115F"/>
    <w:rsid w:val="004715CB"/>
    <w:rsid w:val="00471863"/>
    <w:rsid w:val="00473777"/>
    <w:rsid w:val="00473A14"/>
    <w:rsid w:val="004745A9"/>
    <w:rsid w:val="00474871"/>
    <w:rsid w:val="00474CA8"/>
    <w:rsid w:val="00474E43"/>
    <w:rsid w:val="00474FB7"/>
    <w:rsid w:val="0047588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2CBB"/>
    <w:rsid w:val="00493338"/>
    <w:rsid w:val="00493B6E"/>
    <w:rsid w:val="0049501B"/>
    <w:rsid w:val="00495BA6"/>
    <w:rsid w:val="00495FB2"/>
    <w:rsid w:val="00496DC2"/>
    <w:rsid w:val="00496E75"/>
    <w:rsid w:val="0049734E"/>
    <w:rsid w:val="004A014C"/>
    <w:rsid w:val="004A0AA8"/>
    <w:rsid w:val="004A1FE4"/>
    <w:rsid w:val="004A2103"/>
    <w:rsid w:val="004A2CA9"/>
    <w:rsid w:val="004A33EF"/>
    <w:rsid w:val="004A34C9"/>
    <w:rsid w:val="004A3CB5"/>
    <w:rsid w:val="004A537D"/>
    <w:rsid w:val="004A67F0"/>
    <w:rsid w:val="004A71C3"/>
    <w:rsid w:val="004A7769"/>
    <w:rsid w:val="004A7E4D"/>
    <w:rsid w:val="004B23AD"/>
    <w:rsid w:val="004B2965"/>
    <w:rsid w:val="004B3265"/>
    <w:rsid w:val="004B4224"/>
    <w:rsid w:val="004B4297"/>
    <w:rsid w:val="004B4647"/>
    <w:rsid w:val="004B692C"/>
    <w:rsid w:val="004B6B25"/>
    <w:rsid w:val="004B7455"/>
    <w:rsid w:val="004B74FF"/>
    <w:rsid w:val="004B7CE4"/>
    <w:rsid w:val="004C0401"/>
    <w:rsid w:val="004C0C49"/>
    <w:rsid w:val="004C1096"/>
    <w:rsid w:val="004C183D"/>
    <w:rsid w:val="004C394F"/>
    <w:rsid w:val="004C3EC7"/>
    <w:rsid w:val="004C3EEE"/>
    <w:rsid w:val="004C483D"/>
    <w:rsid w:val="004C4D15"/>
    <w:rsid w:val="004C51F4"/>
    <w:rsid w:val="004C6DA5"/>
    <w:rsid w:val="004C795A"/>
    <w:rsid w:val="004C7F93"/>
    <w:rsid w:val="004D2629"/>
    <w:rsid w:val="004D26B8"/>
    <w:rsid w:val="004D2C2C"/>
    <w:rsid w:val="004D38C2"/>
    <w:rsid w:val="004D41DC"/>
    <w:rsid w:val="004D4FBD"/>
    <w:rsid w:val="004D4FC0"/>
    <w:rsid w:val="004D5AFC"/>
    <w:rsid w:val="004D5CE7"/>
    <w:rsid w:val="004D6381"/>
    <w:rsid w:val="004D6E25"/>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24A9"/>
    <w:rsid w:val="004F3172"/>
    <w:rsid w:val="004F3B71"/>
    <w:rsid w:val="004F3FE5"/>
    <w:rsid w:val="004F5154"/>
    <w:rsid w:val="004F5835"/>
    <w:rsid w:val="004F661C"/>
    <w:rsid w:val="004F6D99"/>
    <w:rsid w:val="00500572"/>
    <w:rsid w:val="00500701"/>
    <w:rsid w:val="00501304"/>
    <w:rsid w:val="00501425"/>
    <w:rsid w:val="0050318B"/>
    <w:rsid w:val="00503226"/>
    <w:rsid w:val="00503CF2"/>
    <w:rsid w:val="00504311"/>
    <w:rsid w:val="0050485C"/>
    <w:rsid w:val="00504AC6"/>
    <w:rsid w:val="00504D75"/>
    <w:rsid w:val="00505D51"/>
    <w:rsid w:val="00506F79"/>
    <w:rsid w:val="00510ABC"/>
    <w:rsid w:val="00511079"/>
    <w:rsid w:val="00511236"/>
    <w:rsid w:val="00511411"/>
    <w:rsid w:val="005114C5"/>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25CA"/>
    <w:rsid w:val="00523E75"/>
    <w:rsid w:val="005243E0"/>
    <w:rsid w:val="005250B8"/>
    <w:rsid w:val="005256F3"/>
    <w:rsid w:val="005265A3"/>
    <w:rsid w:val="00526783"/>
    <w:rsid w:val="0052773A"/>
    <w:rsid w:val="00527FB1"/>
    <w:rsid w:val="00530423"/>
    <w:rsid w:val="00530492"/>
    <w:rsid w:val="0053107E"/>
    <w:rsid w:val="005312CB"/>
    <w:rsid w:val="0053162F"/>
    <w:rsid w:val="00531777"/>
    <w:rsid w:val="0053281C"/>
    <w:rsid w:val="00532AD0"/>
    <w:rsid w:val="0053311D"/>
    <w:rsid w:val="00533B93"/>
    <w:rsid w:val="005340C9"/>
    <w:rsid w:val="00534D84"/>
    <w:rsid w:val="00536698"/>
    <w:rsid w:val="005375FE"/>
    <w:rsid w:val="0054033F"/>
    <w:rsid w:val="00540BFC"/>
    <w:rsid w:val="0054195A"/>
    <w:rsid w:val="005420DE"/>
    <w:rsid w:val="0054221D"/>
    <w:rsid w:val="00542249"/>
    <w:rsid w:val="005431F5"/>
    <w:rsid w:val="00543707"/>
    <w:rsid w:val="005439D2"/>
    <w:rsid w:val="00543EBB"/>
    <w:rsid w:val="00544213"/>
    <w:rsid w:val="0054486D"/>
    <w:rsid w:val="005453F3"/>
    <w:rsid w:val="00545549"/>
    <w:rsid w:val="005468FD"/>
    <w:rsid w:val="005469F5"/>
    <w:rsid w:val="00546F36"/>
    <w:rsid w:val="005518ED"/>
    <w:rsid w:val="00552093"/>
    <w:rsid w:val="00554C49"/>
    <w:rsid w:val="00554E06"/>
    <w:rsid w:val="00554E4B"/>
    <w:rsid w:val="0055519C"/>
    <w:rsid w:val="00555F67"/>
    <w:rsid w:val="00556E32"/>
    <w:rsid w:val="00557ACA"/>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67942"/>
    <w:rsid w:val="00570D9F"/>
    <w:rsid w:val="0057185C"/>
    <w:rsid w:val="00571CA8"/>
    <w:rsid w:val="005723C8"/>
    <w:rsid w:val="00572947"/>
    <w:rsid w:val="00573138"/>
    <w:rsid w:val="005734A7"/>
    <w:rsid w:val="005746C4"/>
    <w:rsid w:val="00574B50"/>
    <w:rsid w:val="00577835"/>
    <w:rsid w:val="00580793"/>
    <w:rsid w:val="00581470"/>
    <w:rsid w:val="005814F8"/>
    <w:rsid w:val="00581B62"/>
    <w:rsid w:val="00581BAD"/>
    <w:rsid w:val="00582087"/>
    <w:rsid w:val="00582F21"/>
    <w:rsid w:val="005831DD"/>
    <w:rsid w:val="00584222"/>
    <w:rsid w:val="00584320"/>
    <w:rsid w:val="00585484"/>
    <w:rsid w:val="005856FF"/>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5968"/>
    <w:rsid w:val="005A704D"/>
    <w:rsid w:val="005A76AE"/>
    <w:rsid w:val="005B1304"/>
    <w:rsid w:val="005B3C6D"/>
    <w:rsid w:val="005B3ED3"/>
    <w:rsid w:val="005B4045"/>
    <w:rsid w:val="005B609E"/>
    <w:rsid w:val="005B6DF6"/>
    <w:rsid w:val="005B7B7D"/>
    <w:rsid w:val="005C1948"/>
    <w:rsid w:val="005C22F9"/>
    <w:rsid w:val="005C263C"/>
    <w:rsid w:val="005C2679"/>
    <w:rsid w:val="005C298C"/>
    <w:rsid w:val="005C5870"/>
    <w:rsid w:val="005C74A2"/>
    <w:rsid w:val="005D059A"/>
    <w:rsid w:val="005D07C5"/>
    <w:rsid w:val="005D16F8"/>
    <w:rsid w:val="005D21B7"/>
    <w:rsid w:val="005D2DAD"/>
    <w:rsid w:val="005D4302"/>
    <w:rsid w:val="005D5A20"/>
    <w:rsid w:val="005D6823"/>
    <w:rsid w:val="005D786C"/>
    <w:rsid w:val="005D7FF9"/>
    <w:rsid w:val="005E00E5"/>
    <w:rsid w:val="005E0148"/>
    <w:rsid w:val="005E049F"/>
    <w:rsid w:val="005E0BB6"/>
    <w:rsid w:val="005E3073"/>
    <w:rsid w:val="005E316A"/>
    <w:rsid w:val="005E433E"/>
    <w:rsid w:val="005E7088"/>
    <w:rsid w:val="005E7E1B"/>
    <w:rsid w:val="005F0108"/>
    <w:rsid w:val="005F0291"/>
    <w:rsid w:val="005F0D8C"/>
    <w:rsid w:val="005F0ECC"/>
    <w:rsid w:val="005F21A5"/>
    <w:rsid w:val="005F2470"/>
    <w:rsid w:val="005F28C6"/>
    <w:rsid w:val="005F3F16"/>
    <w:rsid w:val="005F52CC"/>
    <w:rsid w:val="005F5E6F"/>
    <w:rsid w:val="005F681C"/>
    <w:rsid w:val="005F6BD4"/>
    <w:rsid w:val="005F7091"/>
    <w:rsid w:val="005F7188"/>
    <w:rsid w:val="005F7985"/>
    <w:rsid w:val="00600CEB"/>
    <w:rsid w:val="00601BE5"/>
    <w:rsid w:val="00602A78"/>
    <w:rsid w:val="00602A84"/>
    <w:rsid w:val="00602AA1"/>
    <w:rsid w:val="00603123"/>
    <w:rsid w:val="006031FC"/>
    <w:rsid w:val="006036F4"/>
    <w:rsid w:val="00604367"/>
    <w:rsid w:val="006044BE"/>
    <w:rsid w:val="0060475F"/>
    <w:rsid w:val="006047DF"/>
    <w:rsid w:val="00604804"/>
    <w:rsid w:val="00604DE1"/>
    <w:rsid w:val="006060C2"/>
    <w:rsid w:val="00606A26"/>
    <w:rsid w:val="00607D81"/>
    <w:rsid w:val="00610747"/>
    <w:rsid w:val="00610E03"/>
    <w:rsid w:val="0061176E"/>
    <w:rsid w:val="006138AB"/>
    <w:rsid w:val="00613EA5"/>
    <w:rsid w:val="00614CD1"/>
    <w:rsid w:val="006151F2"/>
    <w:rsid w:val="0061567B"/>
    <w:rsid w:val="00615AC8"/>
    <w:rsid w:val="00617EE8"/>
    <w:rsid w:val="006201A9"/>
    <w:rsid w:val="006210C8"/>
    <w:rsid w:val="0062152A"/>
    <w:rsid w:val="00621992"/>
    <w:rsid w:val="00623583"/>
    <w:rsid w:val="0062462F"/>
    <w:rsid w:val="00624BA1"/>
    <w:rsid w:val="0062661B"/>
    <w:rsid w:val="00626C1D"/>
    <w:rsid w:val="00627832"/>
    <w:rsid w:val="00627E0A"/>
    <w:rsid w:val="00630118"/>
    <w:rsid w:val="00630514"/>
    <w:rsid w:val="006310AE"/>
    <w:rsid w:val="00631762"/>
    <w:rsid w:val="00632196"/>
    <w:rsid w:val="00632BA2"/>
    <w:rsid w:val="00633BF2"/>
    <w:rsid w:val="00633F67"/>
    <w:rsid w:val="006345C3"/>
    <w:rsid w:val="0063530F"/>
    <w:rsid w:val="006362F9"/>
    <w:rsid w:val="006369A9"/>
    <w:rsid w:val="006373CD"/>
    <w:rsid w:val="006404C0"/>
    <w:rsid w:val="00641283"/>
    <w:rsid w:val="006413CF"/>
    <w:rsid w:val="00641413"/>
    <w:rsid w:val="00641465"/>
    <w:rsid w:val="0064165D"/>
    <w:rsid w:val="00642E8C"/>
    <w:rsid w:val="006433BD"/>
    <w:rsid w:val="00643562"/>
    <w:rsid w:val="00643784"/>
    <w:rsid w:val="00644186"/>
    <w:rsid w:val="00644A21"/>
    <w:rsid w:val="00645C9F"/>
    <w:rsid w:val="00646293"/>
    <w:rsid w:val="00646305"/>
    <w:rsid w:val="00646864"/>
    <w:rsid w:val="00646A6C"/>
    <w:rsid w:val="006475E6"/>
    <w:rsid w:val="006508B9"/>
    <w:rsid w:val="00650CA1"/>
    <w:rsid w:val="0065143C"/>
    <w:rsid w:val="00651854"/>
    <w:rsid w:val="00652578"/>
    <w:rsid w:val="00652CFD"/>
    <w:rsid w:val="006539E8"/>
    <w:rsid w:val="00654E29"/>
    <w:rsid w:val="00656307"/>
    <w:rsid w:val="006565D8"/>
    <w:rsid w:val="00656B96"/>
    <w:rsid w:val="00656F79"/>
    <w:rsid w:val="0065736B"/>
    <w:rsid w:val="0065782C"/>
    <w:rsid w:val="006578E4"/>
    <w:rsid w:val="00657AE5"/>
    <w:rsid w:val="006619B0"/>
    <w:rsid w:val="00662012"/>
    <w:rsid w:val="00662543"/>
    <w:rsid w:val="006626D0"/>
    <w:rsid w:val="006628E9"/>
    <w:rsid w:val="006641F4"/>
    <w:rsid w:val="00664E8C"/>
    <w:rsid w:val="00665F7C"/>
    <w:rsid w:val="0066699A"/>
    <w:rsid w:val="00666DFC"/>
    <w:rsid w:val="00666EBB"/>
    <w:rsid w:val="006676BF"/>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4D6B"/>
    <w:rsid w:val="006859DB"/>
    <w:rsid w:val="0068678D"/>
    <w:rsid w:val="00687488"/>
    <w:rsid w:val="006904ED"/>
    <w:rsid w:val="00690888"/>
    <w:rsid w:val="00690E2E"/>
    <w:rsid w:val="006915D7"/>
    <w:rsid w:val="00692814"/>
    <w:rsid w:val="006932E7"/>
    <w:rsid w:val="00693347"/>
    <w:rsid w:val="0069334C"/>
    <w:rsid w:val="00696D63"/>
    <w:rsid w:val="006A006A"/>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2E8D"/>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046"/>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61B4"/>
    <w:rsid w:val="007108D3"/>
    <w:rsid w:val="0071118B"/>
    <w:rsid w:val="00711C66"/>
    <w:rsid w:val="00711E13"/>
    <w:rsid w:val="00712252"/>
    <w:rsid w:val="00712667"/>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0150"/>
    <w:rsid w:val="007409CA"/>
    <w:rsid w:val="00741CC4"/>
    <w:rsid w:val="007428FB"/>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29FD"/>
    <w:rsid w:val="00784190"/>
    <w:rsid w:val="007841C8"/>
    <w:rsid w:val="0078457B"/>
    <w:rsid w:val="00784756"/>
    <w:rsid w:val="0078539D"/>
    <w:rsid w:val="007856C1"/>
    <w:rsid w:val="00785B0F"/>
    <w:rsid w:val="00787051"/>
    <w:rsid w:val="0079018D"/>
    <w:rsid w:val="007901DC"/>
    <w:rsid w:val="007910D2"/>
    <w:rsid w:val="00791A00"/>
    <w:rsid w:val="00791DDB"/>
    <w:rsid w:val="00792CEE"/>
    <w:rsid w:val="00792E0F"/>
    <w:rsid w:val="007936A8"/>
    <w:rsid w:val="007962B4"/>
    <w:rsid w:val="00796F15"/>
    <w:rsid w:val="00797E22"/>
    <w:rsid w:val="007A138F"/>
    <w:rsid w:val="007A1640"/>
    <w:rsid w:val="007A1AE4"/>
    <w:rsid w:val="007A39DF"/>
    <w:rsid w:val="007A3D10"/>
    <w:rsid w:val="007A42BC"/>
    <w:rsid w:val="007A43ED"/>
    <w:rsid w:val="007A4BDD"/>
    <w:rsid w:val="007A52BF"/>
    <w:rsid w:val="007A6CFD"/>
    <w:rsid w:val="007A72EE"/>
    <w:rsid w:val="007B0397"/>
    <w:rsid w:val="007B0ADB"/>
    <w:rsid w:val="007B26EE"/>
    <w:rsid w:val="007B339C"/>
    <w:rsid w:val="007B3502"/>
    <w:rsid w:val="007B3E6D"/>
    <w:rsid w:val="007B44ED"/>
    <w:rsid w:val="007B491A"/>
    <w:rsid w:val="007B5370"/>
    <w:rsid w:val="007B61F5"/>
    <w:rsid w:val="007B63FA"/>
    <w:rsid w:val="007B7496"/>
    <w:rsid w:val="007C0802"/>
    <w:rsid w:val="007C12BE"/>
    <w:rsid w:val="007C2739"/>
    <w:rsid w:val="007C41F8"/>
    <w:rsid w:val="007C4B0F"/>
    <w:rsid w:val="007C4DAD"/>
    <w:rsid w:val="007C579A"/>
    <w:rsid w:val="007C5830"/>
    <w:rsid w:val="007C599E"/>
    <w:rsid w:val="007C5D82"/>
    <w:rsid w:val="007C5DB8"/>
    <w:rsid w:val="007C5DCE"/>
    <w:rsid w:val="007C6CA2"/>
    <w:rsid w:val="007C726D"/>
    <w:rsid w:val="007D05B2"/>
    <w:rsid w:val="007D05FA"/>
    <w:rsid w:val="007D0715"/>
    <w:rsid w:val="007D0C44"/>
    <w:rsid w:val="007D1972"/>
    <w:rsid w:val="007D1F33"/>
    <w:rsid w:val="007D3307"/>
    <w:rsid w:val="007D54F8"/>
    <w:rsid w:val="007D5E27"/>
    <w:rsid w:val="007D6F64"/>
    <w:rsid w:val="007E1782"/>
    <w:rsid w:val="007E25AB"/>
    <w:rsid w:val="007E2F41"/>
    <w:rsid w:val="007E44FC"/>
    <w:rsid w:val="007E5AC2"/>
    <w:rsid w:val="007E79C5"/>
    <w:rsid w:val="007F0D35"/>
    <w:rsid w:val="007F0EF9"/>
    <w:rsid w:val="007F10A4"/>
    <w:rsid w:val="007F2845"/>
    <w:rsid w:val="007F2A69"/>
    <w:rsid w:val="007F38A2"/>
    <w:rsid w:val="007F43BC"/>
    <w:rsid w:val="007F4740"/>
    <w:rsid w:val="008006C6"/>
    <w:rsid w:val="00800C52"/>
    <w:rsid w:val="0080153E"/>
    <w:rsid w:val="008018C8"/>
    <w:rsid w:val="0080263A"/>
    <w:rsid w:val="0080329D"/>
    <w:rsid w:val="0080470E"/>
    <w:rsid w:val="008055A9"/>
    <w:rsid w:val="00805A38"/>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606"/>
    <w:rsid w:val="00825E84"/>
    <w:rsid w:val="00826C7B"/>
    <w:rsid w:val="00826DD9"/>
    <w:rsid w:val="00826E01"/>
    <w:rsid w:val="008277A8"/>
    <w:rsid w:val="008278B6"/>
    <w:rsid w:val="008307ED"/>
    <w:rsid w:val="00830B3B"/>
    <w:rsid w:val="0083350F"/>
    <w:rsid w:val="00834358"/>
    <w:rsid w:val="008346BD"/>
    <w:rsid w:val="00834764"/>
    <w:rsid w:val="00834923"/>
    <w:rsid w:val="008359EB"/>
    <w:rsid w:val="0083698F"/>
    <w:rsid w:val="00836B7A"/>
    <w:rsid w:val="00836E97"/>
    <w:rsid w:val="00837B90"/>
    <w:rsid w:val="008409AA"/>
    <w:rsid w:val="00840FB8"/>
    <w:rsid w:val="008410F1"/>
    <w:rsid w:val="00842E0C"/>
    <w:rsid w:val="00843A7A"/>
    <w:rsid w:val="00843AC0"/>
    <w:rsid w:val="008447F5"/>
    <w:rsid w:val="00846292"/>
    <w:rsid w:val="00846578"/>
    <w:rsid w:val="008506E1"/>
    <w:rsid w:val="00850D96"/>
    <w:rsid w:val="008515EE"/>
    <w:rsid w:val="00851A8E"/>
    <w:rsid w:val="00851DE5"/>
    <w:rsid w:val="00851EC7"/>
    <w:rsid w:val="008528D3"/>
    <w:rsid w:val="00854553"/>
    <w:rsid w:val="008545AE"/>
    <w:rsid w:val="00855B86"/>
    <w:rsid w:val="00856D47"/>
    <w:rsid w:val="00860874"/>
    <w:rsid w:val="008609A3"/>
    <w:rsid w:val="00862008"/>
    <w:rsid w:val="00862720"/>
    <w:rsid w:val="008628C8"/>
    <w:rsid w:val="00862B2A"/>
    <w:rsid w:val="008630B9"/>
    <w:rsid w:val="008634CD"/>
    <w:rsid w:val="00863F37"/>
    <w:rsid w:val="0086406B"/>
    <w:rsid w:val="00864C8C"/>
    <w:rsid w:val="008659FB"/>
    <w:rsid w:val="0086709D"/>
    <w:rsid w:val="00867651"/>
    <w:rsid w:val="00867B5A"/>
    <w:rsid w:val="008729EF"/>
    <w:rsid w:val="00874009"/>
    <w:rsid w:val="00874158"/>
    <w:rsid w:val="008743F3"/>
    <w:rsid w:val="0087444A"/>
    <w:rsid w:val="00875139"/>
    <w:rsid w:val="00875410"/>
    <w:rsid w:val="00875458"/>
    <w:rsid w:val="00880EDF"/>
    <w:rsid w:val="008811FD"/>
    <w:rsid w:val="00882DE6"/>
    <w:rsid w:val="0088338B"/>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2B4B"/>
    <w:rsid w:val="008A3038"/>
    <w:rsid w:val="008A3AFA"/>
    <w:rsid w:val="008A4B16"/>
    <w:rsid w:val="008A4D63"/>
    <w:rsid w:val="008A4E11"/>
    <w:rsid w:val="008A6D62"/>
    <w:rsid w:val="008B13E9"/>
    <w:rsid w:val="008B2257"/>
    <w:rsid w:val="008B2436"/>
    <w:rsid w:val="008B3B51"/>
    <w:rsid w:val="008B4057"/>
    <w:rsid w:val="008B4145"/>
    <w:rsid w:val="008B4CB1"/>
    <w:rsid w:val="008B5071"/>
    <w:rsid w:val="008B5290"/>
    <w:rsid w:val="008B5E41"/>
    <w:rsid w:val="008B6A40"/>
    <w:rsid w:val="008B71E4"/>
    <w:rsid w:val="008B72EC"/>
    <w:rsid w:val="008C2CFD"/>
    <w:rsid w:val="008C3414"/>
    <w:rsid w:val="008C3FDC"/>
    <w:rsid w:val="008C47AD"/>
    <w:rsid w:val="008C603A"/>
    <w:rsid w:val="008C71C8"/>
    <w:rsid w:val="008C782F"/>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B10"/>
    <w:rsid w:val="008E5E51"/>
    <w:rsid w:val="008E6434"/>
    <w:rsid w:val="008E6FDA"/>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214F"/>
    <w:rsid w:val="00912D05"/>
    <w:rsid w:val="009134C3"/>
    <w:rsid w:val="00915B81"/>
    <w:rsid w:val="00915D6B"/>
    <w:rsid w:val="009160DF"/>
    <w:rsid w:val="009162C7"/>
    <w:rsid w:val="00916EC2"/>
    <w:rsid w:val="0092082B"/>
    <w:rsid w:val="009213BD"/>
    <w:rsid w:val="009230A6"/>
    <w:rsid w:val="00923EB9"/>
    <w:rsid w:val="00924627"/>
    <w:rsid w:val="009250A8"/>
    <w:rsid w:val="00925BE6"/>
    <w:rsid w:val="00926697"/>
    <w:rsid w:val="00926F61"/>
    <w:rsid w:val="00926FA9"/>
    <w:rsid w:val="0093123D"/>
    <w:rsid w:val="00933040"/>
    <w:rsid w:val="009330E9"/>
    <w:rsid w:val="0093462C"/>
    <w:rsid w:val="00934689"/>
    <w:rsid w:val="00934D97"/>
    <w:rsid w:val="00935773"/>
    <w:rsid w:val="00935D15"/>
    <w:rsid w:val="009411FB"/>
    <w:rsid w:val="009414A9"/>
    <w:rsid w:val="00941B71"/>
    <w:rsid w:val="00941DF9"/>
    <w:rsid w:val="009421AD"/>
    <w:rsid w:val="0094221C"/>
    <w:rsid w:val="0094409C"/>
    <w:rsid w:val="00944159"/>
    <w:rsid w:val="009449B2"/>
    <w:rsid w:val="00944A82"/>
    <w:rsid w:val="00944BA5"/>
    <w:rsid w:val="00946C4D"/>
    <w:rsid w:val="00946E9E"/>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896"/>
    <w:rsid w:val="00965C40"/>
    <w:rsid w:val="00967354"/>
    <w:rsid w:val="00971592"/>
    <w:rsid w:val="00971617"/>
    <w:rsid w:val="00971DDF"/>
    <w:rsid w:val="0097225C"/>
    <w:rsid w:val="0097292C"/>
    <w:rsid w:val="009731D6"/>
    <w:rsid w:val="00973FC6"/>
    <w:rsid w:val="00974746"/>
    <w:rsid w:val="00975119"/>
    <w:rsid w:val="009763ED"/>
    <w:rsid w:val="00976F04"/>
    <w:rsid w:val="0097741D"/>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18B6"/>
    <w:rsid w:val="00992343"/>
    <w:rsid w:val="009938B1"/>
    <w:rsid w:val="00996258"/>
    <w:rsid w:val="00996306"/>
    <w:rsid w:val="00996744"/>
    <w:rsid w:val="00997CF4"/>
    <w:rsid w:val="009A0DE4"/>
    <w:rsid w:val="009A1169"/>
    <w:rsid w:val="009A164C"/>
    <w:rsid w:val="009A1AAC"/>
    <w:rsid w:val="009A2CB8"/>
    <w:rsid w:val="009A2D39"/>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5163"/>
    <w:rsid w:val="009B76E3"/>
    <w:rsid w:val="009B7A72"/>
    <w:rsid w:val="009B7BB8"/>
    <w:rsid w:val="009C077F"/>
    <w:rsid w:val="009C0E9B"/>
    <w:rsid w:val="009C126A"/>
    <w:rsid w:val="009C1D4C"/>
    <w:rsid w:val="009C2DD2"/>
    <w:rsid w:val="009C3982"/>
    <w:rsid w:val="009C441F"/>
    <w:rsid w:val="009C4A07"/>
    <w:rsid w:val="009C4B8E"/>
    <w:rsid w:val="009C51D5"/>
    <w:rsid w:val="009C543C"/>
    <w:rsid w:val="009C599A"/>
    <w:rsid w:val="009C5EFF"/>
    <w:rsid w:val="009C650E"/>
    <w:rsid w:val="009C6D33"/>
    <w:rsid w:val="009C70DB"/>
    <w:rsid w:val="009C774A"/>
    <w:rsid w:val="009D19BC"/>
    <w:rsid w:val="009D2348"/>
    <w:rsid w:val="009D2749"/>
    <w:rsid w:val="009D2EA8"/>
    <w:rsid w:val="009D2F0C"/>
    <w:rsid w:val="009D3306"/>
    <w:rsid w:val="009D3578"/>
    <w:rsid w:val="009D3A5F"/>
    <w:rsid w:val="009D4F88"/>
    <w:rsid w:val="009D5193"/>
    <w:rsid w:val="009D5C32"/>
    <w:rsid w:val="009D5C56"/>
    <w:rsid w:val="009D6472"/>
    <w:rsid w:val="009D79F4"/>
    <w:rsid w:val="009D7D19"/>
    <w:rsid w:val="009E126D"/>
    <w:rsid w:val="009E2D60"/>
    <w:rsid w:val="009E33D7"/>
    <w:rsid w:val="009E3CD1"/>
    <w:rsid w:val="009E5520"/>
    <w:rsid w:val="009E5801"/>
    <w:rsid w:val="009E5AF5"/>
    <w:rsid w:val="009E5EB5"/>
    <w:rsid w:val="009E74F0"/>
    <w:rsid w:val="009F0768"/>
    <w:rsid w:val="009F102A"/>
    <w:rsid w:val="009F151C"/>
    <w:rsid w:val="009F2A19"/>
    <w:rsid w:val="009F514E"/>
    <w:rsid w:val="009F7867"/>
    <w:rsid w:val="009F7D66"/>
    <w:rsid w:val="00A00BD2"/>
    <w:rsid w:val="00A00E56"/>
    <w:rsid w:val="00A027F3"/>
    <w:rsid w:val="00A02D56"/>
    <w:rsid w:val="00A03978"/>
    <w:rsid w:val="00A03AB1"/>
    <w:rsid w:val="00A04D7E"/>
    <w:rsid w:val="00A051D9"/>
    <w:rsid w:val="00A054C2"/>
    <w:rsid w:val="00A05DF3"/>
    <w:rsid w:val="00A07E08"/>
    <w:rsid w:val="00A109E2"/>
    <w:rsid w:val="00A10D79"/>
    <w:rsid w:val="00A11535"/>
    <w:rsid w:val="00A11C9B"/>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5AB"/>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37AB"/>
    <w:rsid w:val="00A74692"/>
    <w:rsid w:val="00A75A52"/>
    <w:rsid w:val="00A7618B"/>
    <w:rsid w:val="00A7640B"/>
    <w:rsid w:val="00A773A8"/>
    <w:rsid w:val="00A7778B"/>
    <w:rsid w:val="00A803BC"/>
    <w:rsid w:val="00A80969"/>
    <w:rsid w:val="00A82FD8"/>
    <w:rsid w:val="00A85798"/>
    <w:rsid w:val="00A8609D"/>
    <w:rsid w:val="00A86EA7"/>
    <w:rsid w:val="00A91002"/>
    <w:rsid w:val="00A91244"/>
    <w:rsid w:val="00A91774"/>
    <w:rsid w:val="00A91C7F"/>
    <w:rsid w:val="00A92066"/>
    <w:rsid w:val="00A92776"/>
    <w:rsid w:val="00A92CD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4B6A"/>
    <w:rsid w:val="00AA51AD"/>
    <w:rsid w:val="00AA591E"/>
    <w:rsid w:val="00AA5DF4"/>
    <w:rsid w:val="00AA65C9"/>
    <w:rsid w:val="00AA66CB"/>
    <w:rsid w:val="00AB0A32"/>
    <w:rsid w:val="00AB0B90"/>
    <w:rsid w:val="00AB0E56"/>
    <w:rsid w:val="00AB0ED5"/>
    <w:rsid w:val="00AB18AC"/>
    <w:rsid w:val="00AB1EB7"/>
    <w:rsid w:val="00AB22D1"/>
    <w:rsid w:val="00AB3A15"/>
    <w:rsid w:val="00AB4ECC"/>
    <w:rsid w:val="00AB4F0F"/>
    <w:rsid w:val="00AB53E3"/>
    <w:rsid w:val="00AB60E2"/>
    <w:rsid w:val="00AB6601"/>
    <w:rsid w:val="00AB674E"/>
    <w:rsid w:val="00AB6D79"/>
    <w:rsid w:val="00AB709E"/>
    <w:rsid w:val="00AB7806"/>
    <w:rsid w:val="00AC02C1"/>
    <w:rsid w:val="00AC0AB6"/>
    <w:rsid w:val="00AC10AD"/>
    <w:rsid w:val="00AC19C9"/>
    <w:rsid w:val="00AC1E55"/>
    <w:rsid w:val="00AC2B26"/>
    <w:rsid w:val="00AC3D06"/>
    <w:rsid w:val="00AC429F"/>
    <w:rsid w:val="00AC60B4"/>
    <w:rsid w:val="00AC67B6"/>
    <w:rsid w:val="00AC7D98"/>
    <w:rsid w:val="00AD00C5"/>
    <w:rsid w:val="00AD165F"/>
    <w:rsid w:val="00AD1AFD"/>
    <w:rsid w:val="00AD2794"/>
    <w:rsid w:val="00AD2DC5"/>
    <w:rsid w:val="00AD3455"/>
    <w:rsid w:val="00AD3A33"/>
    <w:rsid w:val="00AD3CAD"/>
    <w:rsid w:val="00AD53C1"/>
    <w:rsid w:val="00AD5A99"/>
    <w:rsid w:val="00AD69FF"/>
    <w:rsid w:val="00AD702B"/>
    <w:rsid w:val="00AD72E6"/>
    <w:rsid w:val="00AD7C95"/>
    <w:rsid w:val="00AD7FCD"/>
    <w:rsid w:val="00AE2BED"/>
    <w:rsid w:val="00AE3DE1"/>
    <w:rsid w:val="00AE4E46"/>
    <w:rsid w:val="00AE5439"/>
    <w:rsid w:val="00AE61B2"/>
    <w:rsid w:val="00AE78D1"/>
    <w:rsid w:val="00AE7AB2"/>
    <w:rsid w:val="00AE7F89"/>
    <w:rsid w:val="00AF1A4C"/>
    <w:rsid w:val="00AF2CE9"/>
    <w:rsid w:val="00AF2D54"/>
    <w:rsid w:val="00AF3458"/>
    <w:rsid w:val="00AF3F7B"/>
    <w:rsid w:val="00AF42B4"/>
    <w:rsid w:val="00AF48A0"/>
    <w:rsid w:val="00AF4B8A"/>
    <w:rsid w:val="00AF4F1B"/>
    <w:rsid w:val="00AF5EC6"/>
    <w:rsid w:val="00AF6C38"/>
    <w:rsid w:val="00AF6E8A"/>
    <w:rsid w:val="00AF7213"/>
    <w:rsid w:val="00AF7771"/>
    <w:rsid w:val="00AF7D92"/>
    <w:rsid w:val="00B011CC"/>
    <w:rsid w:val="00B01E92"/>
    <w:rsid w:val="00B04048"/>
    <w:rsid w:val="00B04C21"/>
    <w:rsid w:val="00B04F3D"/>
    <w:rsid w:val="00B05702"/>
    <w:rsid w:val="00B06DD9"/>
    <w:rsid w:val="00B07CD6"/>
    <w:rsid w:val="00B07E52"/>
    <w:rsid w:val="00B10010"/>
    <w:rsid w:val="00B11775"/>
    <w:rsid w:val="00B12F75"/>
    <w:rsid w:val="00B1302D"/>
    <w:rsid w:val="00B1513F"/>
    <w:rsid w:val="00B15723"/>
    <w:rsid w:val="00B15B89"/>
    <w:rsid w:val="00B1746F"/>
    <w:rsid w:val="00B20003"/>
    <w:rsid w:val="00B20725"/>
    <w:rsid w:val="00B2087E"/>
    <w:rsid w:val="00B20B11"/>
    <w:rsid w:val="00B20B94"/>
    <w:rsid w:val="00B248D0"/>
    <w:rsid w:val="00B25781"/>
    <w:rsid w:val="00B2628E"/>
    <w:rsid w:val="00B266B0"/>
    <w:rsid w:val="00B27921"/>
    <w:rsid w:val="00B3000E"/>
    <w:rsid w:val="00B326A8"/>
    <w:rsid w:val="00B329EB"/>
    <w:rsid w:val="00B32FCD"/>
    <w:rsid w:val="00B33153"/>
    <w:rsid w:val="00B33508"/>
    <w:rsid w:val="00B3377E"/>
    <w:rsid w:val="00B34E63"/>
    <w:rsid w:val="00B35DA4"/>
    <w:rsid w:val="00B37A8C"/>
    <w:rsid w:val="00B40A96"/>
    <w:rsid w:val="00B40D5C"/>
    <w:rsid w:val="00B41573"/>
    <w:rsid w:val="00B4184B"/>
    <w:rsid w:val="00B422A7"/>
    <w:rsid w:val="00B42A32"/>
    <w:rsid w:val="00B42FA6"/>
    <w:rsid w:val="00B4399E"/>
    <w:rsid w:val="00B43A16"/>
    <w:rsid w:val="00B442B4"/>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0C3"/>
    <w:rsid w:val="00B625CC"/>
    <w:rsid w:val="00B6330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DE9"/>
    <w:rsid w:val="00B90E2A"/>
    <w:rsid w:val="00B90F2A"/>
    <w:rsid w:val="00B9198D"/>
    <w:rsid w:val="00B926DA"/>
    <w:rsid w:val="00B92D25"/>
    <w:rsid w:val="00B93008"/>
    <w:rsid w:val="00B9406D"/>
    <w:rsid w:val="00B94BA7"/>
    <w:rsid w:val="00B94E0E"/>
    <w:rsid w:val="00B96413"/>
    <w:rsid w:val="00B97CA3"/>
    <w:rsid w:val="00BA1872"/>
    <w:rsid w:val="00BA1913"/>
    <w:rsid w:val="00BA2BC9"/>
    <w:rsid w:val="00BA4641"/>
    <w:rsid w:val="00BA4A54"/>
    <w:rsid w:val="00BA76A9"/>
    <w:rsid w:val="00BB03FF"/>
    <w:rsid w:val="00BB0595"/>
    <w:rsid w:val="00BB2F36"/>
    <w:rsid w:val="00BB3E2B"/>
    <w:rsid w:val="00BB4C72"/>
    <w:rsid w:val="00BB541F"/>
    <w:rsid w:val="00BB5D1C"/>
    <w:rsid w:val="00BB6552"/>
    <w:rsid w:val="00BB65E0"/>
    <w:rsid w:val="00BB6B9B"/>
    <w:rsid w:val="00BB754F"/>
    <w:rsid w:val="00BC0058"/>
    <w:rsid w:val="00BC07BB"/>
    <w:rsid w:val="00BC07D4"/>
    <w:rsid w:val="00BC0A5D"/>
    <w:rsid w:val="00BC0BE3"/>
    <w:rsid w:val="00BC1214"/>
    <w:rsid w:val="00BC1AD9"/>
    <w:rsid w:val="00BC3257"/>
    <w:rsid w:val="00BC32E7"/>
    <w:rsid w:val="00BC4F81"/>
    <w:rsid w:val="00BC5670"/>
    <w:rsid w:val="00BC58B9"/>
    <w:rsid w:val="00BC7DC9"/>
    <w:rsid w:val="00BD0BD9"/>
    <w:rsid w:val="00BD271D"/>
    <w:rsid w:val="00BD2F13"/>
    <w:rsid w:val="00BD3056"/>
    <w:rsid w:val="00BD3846"/>
    <w:rsid w:val="00BD39F3"/>
    <w:rsid w:val="00BD3E68"/>
    <w:rsid w:val="00BD4E05"/>
    <w:rsid w:val="00BD598A"/>
    <w:rsid w:val="00BD5C7A"/>
    <w:rsid w:val="00BD6204"/>
    <w:rsid w:val="00BD723F"/>
    <w:rsid w:val="00BD75B4"/>
    <w:rsid w:val="00BD7AB0"/>
    <w:rsid w:val="00BD7D14"/>
    <w:rsid w:val="00BE02B4"/>
    <w:rsid w:val="00BE1E6B"/>
    <w:rsid w:val="00BE28C1"/>
    <w:rsid w:val="00BE3492"/>
    <w:rsid w:val="00BE4A9A"/>
    <w:rsid w:val="00BE4EC9"/>
    <w:rsid w:val="00BE631E"/>
    <w:rsid w:val="00BE6BEC"/>
    <w:rsid w:val="00BF0CCF"/>
    <w:rsid w:val="00BF0FC5"/>
    <w:rsid w:val="00BF10BC"/>
    <w:rsid w:val="00BF21AC"/>
    <w:rsid w:val="00BF2E53"/>
    <w:rsid w:val="00BF352A"/>
    <w:rsid w:val="00BF3669"/>
    <w:rsid w:val="00BF38E7"/>
    <w:rsid w:val="00BF3C0D"/>
    <w:rsid w:val="00BF6252"/>
    <w:rsid w:val="00BF711C"/>
    <w:rsid w:val="00BF748E"/>
    <w:rsid w:val="00BF789B"/>
    <w:rsid w:val="00C01302"/>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701"/>
    <w:rsid w:val="00C22B28"/>
    <w:rsid w:val="00C239E9"/>
    <w:rsid w:val="00C257B7"/>
    <w:rsid w:val="00C272E8"/>
    <w:rsid w:val="00C3049E"/>
    <w:rsid w:val="00C30ABC"/>
    <w:rsid w:val="00C30B60"/>
    <w:rsid w:val="00C31DFF"/>
    <w:rsid w:val="00C31FAA"/>
    <w:rsid w:val="00C33359"/>
    <w:rsid w:val="00C348D6"/>
    <w:rsid w:val="00C3504C"/>
    <w:rsid w:val="00C35FCA"/>
    <w:rsid w:val="00C365E7"/>
    <w:rsid w:val="00C36E34"/>
    <w:rsid w:val="00C40150"/>
    <w:rsid w:val="00C40388"/>
    <w:rsid w:val="00C404D7"/>
    <w:rsid w:val="00C404EE"/>
    <w:rsid w:val="00C4171B"/>
    <w:rsid w:val="00C42689"/>
    <w:rsid w:val="00C42988"/>
    <w:rsid w:val="00C42BD4"/>
    <w:rsid w:val="00C43FF0"/>
    <w:rsid w:val="00C44244"/>
    <w:rsid w:val="00C44641"/>
    <w:rsid w:val="00C45EF5"/>
    <w:rsid w:val="00C461D8"/>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2F5"/>
    <w:rsid w:val="00C55566"/>
    <w:rsid w:val="00C57A01"/>
    <w:rsid w:val="00C57A2D"/>
    <w:rsid w:val="00C57CF9"/>
    <w:rsid w:val="00C60B07"/>
    <w:rsid w:val="00C60E87"/>
    <w:rsid w:val="00C615B0"/>
    <w:rsid w:val="00C617C8"/>
    <w:rsid w:val="00C61D4B"/>
    <w:rsid w:val="00C62B0A"/>
    <w:rsid w:val="00C63961"/>
    <w:rsid w:val="00C63C52"/>
    <w:rsid w:val="00C63F08"/>
    <w:rsid w:val="00C6528C"/>
    <w:rsid w:val="00C661E8"/>
    <w:rsid w:val="00C70084"/>
    <w:rsid w:val="00C7090B"/>
    <w:rsid w:val="00C7235B"/>
    <w:rsid w:val="00C72E18"/>
    <w:rsid w:val="00C731AD"/>
    <w:rsid w:val="00C7380B"/>
    <w:rsid w:val="00C7425A"/>
    <w:rsid w:val="00C74421"/>
    <w:rsid w:val="00C75F2F"/>
    <w:rsid w:val="00C75FEE"/>
    <w:rsid w:val="00C76F1D"/>
    <w:rsid w:val="00C77937"/>
    <w:rsid w:val="00C77CA4"/>
    <w:rsid w:val="00C77D00"/>
    <w:rsid w:val="00C77D26"/>
    <w:rsid w:val="00C77DB3"/>
    <w:rsid w:val="00C8014D"/>
    <w:rsid w:val="00C80BDF"/>
    <w:rsid w:val="00C815DF"/>
    <w:rsid w:val="00C81819"/>
    <w:rsid w:val="00C82FEE"/>
    <w:rsid w:val="00C84D39"/>
    <w:rsid w:val="00C85277"/>
    <w:rsid w:val="00C85806"/>
    <w:rsid w:val="00C85D76"/>
    <w:rsid w:val="00C85F92"/>
    <w:rsid w:val="00C873AC"/>
    <w:rsid w:val="00C876A5"/>
    <w:rsid w:val="00C87DA6"/>
    <w:rsid w:val="00C91857"/>
    <w:rsid w:val="00C9213B"/>
    <w:rsid w:val="00C93462"/>
    <w:rsid w:val="00C94384"/>
    <w:rsid w:val="00C94A34"/>
    <w:rsid w:val="00C94C2B"/>
    <w:rsid w:val="00C94F73"/>
    <w:rsid w:val="00C95609"/>
    <w:rsid w:val="00C95EEF"/>
    <w:rsid w:val="00C95F9D"/>
    <w:rsid w:val="00C96F79"/>
    <w:rsid w:val="00C97CF9"/>
    <w:rsid w:val="00CA17DD"/>
    <w:rsid w:val="00CA1863"/>
    <w:rsid w:val="00CA1941"/>
    <w:rsid w:val="00CA26CE"/>
    <w:rsid w:val="00CA391D"/>
    <w:rsid w:val="00CA3ACD"/>
    <w:rsid w:val="00CA4F8B"/>
    <w:rsid w:val="00CA5445"/>
    <w:rsid w:val="00CB0232"/>
    <w:rsid w:val="00CB09DA"/>
    <w:rsid w:val="00CB0BD9"/>
    <w:rsid w:val="00CB1C9D"/>
    <w:rsid w:val="00CB1CAC"/>
    <w:rsid w:val="00CB1DE8"/>
    <w:rsid w:val="00CB1E3B"/>
    <w:rsid w:val="00CB1F1D"/>
    <w:rsid w:val="00CB4E21"/>
    <w:rsid w:val="00CB6795"/>
    <w:rsid w:val="00CB71F8"/>
    <w:rsid w:val="00CC13F0"/>
    <w:rsid w:val="00CC180A"/>
    <w:rsid w:val="00CC2297"/>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5C1E"/>
    <w:rsid w:val="00CE6F0F"/>
    <w:rsid w:val="00CF002F"/>
    <w:rsid w:val="00CF0246"/>
    <w:rsid w:val="00CF2483"/>
    <w:rsid w:val="00CF24E2"/>
    <w:rsid w:val="00CF2587"/>
    <w:rsid w:val="00CF393D"/>
    <w:rsid w:val="00CF4ABD"/>
    <w:rsid w:val="00CF4CF2"/>
    <w:rsid w:val="00CF52C2"/>
    <w:rsid w:val="00CF5385"/>
    <w:rsid w:val="00CF5A53"/>
    <w:rsid w:val="00CF5C60"/>
    <w:rsid w:val="00CF5CA8"/>
    <w:rsid w:val="00CF5D28"/>
    <w:rsid w:val="00CF68B8"/>
    <w:rsid w:val="00CF6EAD"/>
    <w:rsid w:val="00CF6F1E"/>
    <w:rsid w:val="00D001F9"/>
    <w:rsid w:val="00D0036E"/>
    <w:rsid w:val="00D00BB7"/>
    <w:rsid w:val="00D00C92"/>
    <w:rsid w:val="00D01679"/>
    <w:rsid w:val="00D01EAD"/>
    <w:rsid w:val="00D035B9"/>
    <w:rsid w:val="00D040B7"/>
    <w:rsid w:val="00D05C3D"/>
    <w:rsid w:val="00D060FF"/>
    <w:rsid w:val="00D063F6"/>
    <w:rsid w:val="00D064E8"/>
    <w:rsid w:val="00D06546"/>
    <w:rsid w:val="00D06572"/>
    <w:rsid w:val="00D065CD"/>
    <w:rsid w:val="00D10C53"/>
    <w:rsid w:val="00D12325"/>
    <w:rsid w:val="00D12761"/>
    <w:rsid w:val="00D13CFD"/>
    <w:rsid w:val="00D14487"/>
    <w:rsid w:val="00D14CE1"/>
    <w:rsid w:val="00D15E7E"/>
    <w:rsid w:val="00D16058"/>
    <w:rsid w:val="00D16FDD"/>
    <w:rsid w:val="00D20016"/>
    <w:rsid w:val="00D207A7"/>
    <w:rsid w:val="00D2132A"/>
    <w:rsid w:val="00D2279F"/>
    <w:rsid w:val="00D22AF1"/>
    <w:rsid w:val="00D22E93"/>
    <w:rsid w:val="00D23BEF"/>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5338"/>
    <w:rsid w:val="00D46111"/>
    <w:rsid w:val="00D4662F"/>
    <w:rsid w:val="00D46F1B"/>
    <w:rsid w:val="00D46F2C"/>
    <w:rsid w:val="00D475FB"/>
    <w:rsid w:val="00D47C16"/>
    <w:rsid w:val="00D502AF"/>
    <w:rsid w:val="00D50546"/>
    <w:rsid w:val="00D50764"/>
    <w:rsid w:val="00D50C12"/>
    <w:rsid w:val="00D51034"/>
    <w:rsid w:val="00D514A9"/>
    <w:rsid w:val="00D51A77"/>
    <w:rsid w:val="00D5267B"/>
    <w:rsid w:val="00D52D39"/>
    <w:rsid w:val="00D53649"/>
    <w:rsid w:val="00D53830"/>
    <w:rsid w:val="00D54FB3"/>
    <w:rsid w:val="00D55889"/>
    <w:rsid w:val="00D55B35"/>
    <w:rsid w:val="00D56B5F"/>
    <w:rsid w:val="00D57A3F"/>
    <w:rsid w:val="00D57AF0"/>
    <w:rsid w:val="00D61815"/>
    <w:rsid w:val="00D62533"/>
    <w:rsid w:val="00D627E3"/>
    <w:rsid w:val="00D62ECD"/>
    <w:rsid w:val="00D633D9"/>
    <w:rsid w:val="00D64426"/>
    <w:rsid w:val="00D64475"/>
    <w:rsid w:val="00D65D78"/>
    <w:rsid w:val="00D66B04"/>
    <w:rsid w:val="00D66F36"/>
    <w:rsid w:val="00D67BC5"/>
    <w:rsid w:val="00D7021B"/>
    <w:rsid w:val="00D70D33"/>
    <w:rsid w:val="00D71862"/>
    <w:rsid w:val="00D71E7F"/>
    <w:rsid w:val="00D71FBA"/>
    <w:rsid w:val="00D7239B"/>
    <w:rsid w:val="00D72943"/>
    <w:rsid w:val="00D73077"/>
    <w:rsid w:val="00D736A2"/>
    <w:rsid w:val="00D73C57"/>
    <w:rsid w:val="00D742FF"/>
    <w:rsid w:val="00D74B68"/>
    <w:rsid w:val="00D758B3"/>
    <w:rsid w:val="00D76ADC"/>
    <w:rsid w:val="00D77413"/>
    <w:rsid w:val="00D80B04"/>
    <w:rsid w:val="00D81618"/>
    <w:rsid w:val="00D81F10"/>
    <w:rsid w:val="00D82798"/>
    <w:rsid w:val="00D82BF2"/>
    <w:rsid w:val="00D83266"/>
    <w:rsid w:val="00D84A57"/>
    <w:rsid w:val="00D860BD"/>
    <w:rsid w:val="00D86D8C"/>
    <w:rsid w:val="00D87307"/>
    <w:rsid w:val="00D874DF"/>
    <w:rsid w:val="00D87A12"/>
    <w:rsid w:val="00D91FEF"/>
    <w:rsid w:val="00D930E1"/>
    <w:rsid w:val="00D9354D"/>
    <w:rsid w:val="00D9415C"/>
    <w:rsid w:val="00D942CC"/>
    <w:rsid w:val="00D944E4"/>
    <w:rsid w:val="00D94D87"/>
    <w:rsid w:val="00D95B31"/>
    <w:rsid w:val="00D95DCC"/>
    <w:rsid w:val="00D95F4C"/>
    <w:rsid w:val="00D962DC"/>
    <w:rsid w:val="00DA126A"/>
    <w:rsid w:val="00DA180C"/>
    <w:rsid w:val="00DA18A2"/>
    <w:rsid w:val="00DA19D0"/>
    <w:rsid w:val="00DA207D"/>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C04"/>
    <w:rsid w:val="00DB0D2A"/>
    <w:rsid w:val="00DB11CD"/>
    <w:rsid w:val="00DB1DAB"/>
    <w:rsid w:val="00DB22A7"/>
    <w:rsid w:val="00DB29D2"/>
    <w:rsid w:val="00DB39D4"/>
    <w:rsid w:val="00DB3A47"/>
    <w:rsid w:val="00DB46D0"/>
    <w:rsid w:val="00DB46DF"/>
    <w:rsid w:val="00DB49B6"/>
    <w:rsid w:val="00DB4E06"/>
    <w:rsid w:val="00DB505D"/>
    <w:rsid w:val="00DB6A80"/>
    <w:rsid w:val="00DB6C06"/>
    <w:rsid w:val="00DB6FF0"/>
    <w:rsid w:val="00DB7B06"/>
    <w:rsid w:val="00DC043D"/>
    <w:rsid w:val="00DC127D"/>
    <w:rsid w:val="00DC318A"/>
    <w:rsid w:val="00DC3A9D"/>
    <w:rsid w:val="00DC4004"/>
    <w:rsid w:val="00DC4243"/>
    <w:rsid w:val="00DC5584"/>
    <w:rsid w:val="00DC6C1E"/>
    <w:rsid w:val="00DC7255"/>
    <w:rsid w:val="00DC72CE"/>
    <w:rsid w:val="00DC7951"/>
    <w:rsid w:val="00DC7C93"/>
    <w:rsid w:val="00DD1946"/>
    <w:rsid w:val="00DD1C4B"/>
    <w:rsid w:val="00DD1F7B"/>
    <w:rsid w:val="00DD229E"/>
    <w:rsid w:val="00DD3029"/>
    <w:rsid w:val="00DD55E0"/>
    <w:rsid w:val="00DD5FE4"/>
    <w:rsid w:val="00DE18A3"/>
    <w:rsid w:val="00DE1904"/>
    <w:rsid w:val="00DE1DAA"/>
    <w:rsid w:val="00DE3DBB"/>
    <w:rsid w:val="00DE413D"/>
    <w:rsid w:val="00DE43A2"/>
    <w:rsid w:val="00DE4A74"/>
    <w:rsid w:val="00DE4B05"/>
    <w:rsid w:val="00DE541C"/>
    <w:rsid w:val="00DE737B"/>
    <w:rsid w:val="00DF100B"/>
    <w:rsid w:val="00DF11B7"/>
    <w:rsid w:val="00DF2D2C"/>
    <w:rsid w:val="00DF4359"/>
    <w:rsid w:val="00DF591A"/>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5048"/>
    <w:rsid w:val="00E16463"/>
    <w:rsid w:val="00E16F82"/>
    <w:rsid w:val="00E17F6F"/>
    <w:rsid w:val="00E209A4"/>
    <w:rsid w:val="00E20B20"/>
    <w:rsid w:val="00E239D1"/>
    <w:rsid w:val="00E246B9"/>
    <w:rsid w:val="00E250C5"/>
    <w:rsid w:val="00E25EDD"/>
    <w:rsid w:val="00E26727"/>
    <w:rsid w:val="00E26970"/>
    <w:rsid w:val="00E2728F"/>
    <w:rsid w:val="00E27791"/>
    <w:rsid w:val="00E30F2D"/>
    <w:rsid w:val="00E31887"/>
    <w:rsid w:val="00E319DB"/>
    <w:rsid w:val="00E31AFC"/>
    <w:rsid w:val="00E3250F"/>
    <w:rsid w:val="00E3409E"/>
    <w:rsid w:val="00E34F76"/>
    <w:rsid w:val="00E376E1"/>
    <w:rsid w:val="00E37BE5"/>
    <w:rsid w:val="00E37C83"/>
    <w:rsid w:val="00E4038A"/>
    <w:rsid w:val="00E41A27"/>
    <w:rsid w:val="00E41AB4"/>
    <w:rsid w:val="00E42737"/>
    <w:rsid w:val="00E44906"/>
    <w:rsid w:val="00E45C77"/>
    <w:rsid w:val="00E4608B"/>
    <w:rsid w:val="00E46D50"/>
    <w:rsid w:val="00E46D7F"/>
    <w:rsid w:val="00E501D3"/>
    <w:rsid w:val="00E506A2"/>
    <w:rsid w:val="00E53A01"/>
    <w:rsid w:val="00E54401"/>
    <w:rsid w:val="00E564C4"/>
    <w:rsid w:val="00E567C9"/>
    <w:rsid w:val="00E5743C"/>
    <w:rsid w:val="00E57E1A"/>
    <w:rsid w:val="00E57F8E"/>
    <w:rsid w:val="00E604C4"/>
    <w:rsid w:val="00E60809"/>
    <w:rsid w:val="00E61300"/>
    <w:rsid w:val="00E635B9"/>
    <w:rsid w:val="00E649A7"/>
    <w:rsid w:val="00E65D15"/>
    <w:rsid w:val="00E66CD8"/>
    <w:rsid w:val="00E67802"/>
    <w:rsid w:val="00E67EE5"/>
    <w:rsid w:val="00E7013A"/>
    <w:rsid w:val="00E710BB"/>
    <w:rsid w:val="00E72C6B"/>
    <w:rsid w:val="00E73AB7"/>
    <w:rsid w:val="00E74F5D"/>
    <w:rsid w:val="00E76034"/>
    <w:rsid w:val="00E80440"/>
    <w:rsid w:val="00E817E0"/>
    <w:rsid w:val="00E82EE4"/>
    <w:rsid w:val="00E831E7"/>
    <w:rsid w:val="00E83B19"/>
    <w:rsid w:val="00E843B5"/>
    <w:rsid w:val="00E84A3B"/>
    <w:rsid w:val="00E85307"/>
    <w:rsid w:val="00E853A7"/>
    <w:rsid w:val="00E85B0A"/>
    <w:rsid w:val="00E85E91"/>
    <w:rsid w:val="00E87742"/>
    <w:rsid w:val="00E907E4"/>
    <w:rsid w:val="00E90A24"/>
    <w:rsid w:val="00E90C34"/>
    <w:rsid w:val="00E919AC"/>
    <w:rsid w:val="00E93499"/>
    <w:rsid w:val="00E93CB3"/>
    <w:rsid w:val="00E946A6"/>
    <w:rsid w:val="00E947E4"/>
    <w:rsid w:val="00E9480A"/>
    <w:rsid w:val="00E957EB"/>
    <w:rsid w:val="00E9616B"/>
    <w:rsid w:val="00E96A29"/>
    <w:rsid w:val="00E96B28"/>
    <w:rsid w:val="00E96FE6"/>
    <w:rsid w:val="00E973A1"/>
    <w:rsid w:val="00EA1059"/>
    <w:rsid w:val="00EA1D43"/>
    <w:rsid w:val="00EA232F"/>
    <w:rsid w:val="00EA3922"/>
    <w:rsid w:val="00EA4C04"/>
    <w:rsid w:val="00EA4EC9"/>
    <w:rsid w:val="00EA568E"/>
    <w:rsid w:val="00EA5E0F"/>
    <w:rsid w:val="00EA6169"/>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0CAA"/>
    <w:rsid w:val="00EC14B0"/>
    <w:rsid w:val="00EC204E"/>
    <w:rsid w:val="00EC207A"/>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597"/>
    <w:rsid w:val="00EE0E5D"/>
    <w:rsid w:val="00EE11C2"/>
    <w:rsid w:val="00EE2A61"/>
    <w:rsid w:val="00EE3663"/>
    <w:rsid w:val="00EE41C4"/>
    <w:rsid w:val="00EE5A27"/>
    <w:rsid w:val="00EE6E77"/>
    <w:rsid w:val="00EE76A9"/>
    <w:rsid w:val="00EE799E"/>
    <w:rsid w:val="00EE7A8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5F8D"/>
    <w:rsid w:val="00F16739"/>
    <w:rsid w:val="00F16DE2"/>
    <w:rsid w:val="00F2052B"/>
    <w:rsid w:val="00F22183"/>
    <w:rsid w:val="00F2260F"/>
    <w:rsid w:val="00F23E3A"/>
    <w:rsid w:val="00F242AD"/>
    <w:rsid w:val="00F247F2"/>
    <w:rsid w:val="00F2518F"/>
    <w:rsid w:val="00F252A8"/>
    <w:rsid w:val="00F265F7"/>
    <w:rsid w:val="00F27FA6"/>
    <w:rsid w:val="00F331A0"/>
    <w:rsid w:val="00F33922"/>
    <w:rsid w:val="00F33DC8"/>
    <w:rsid w:val="00F33E4F"/>
    <w:rsid w:val="00F34444"/>
    <w:rsid w:val="00F34C40"/>
    <w:rsid w:val="00F35B43"/>
    <w:rsid w:val="00F378F1"/>
    <w:rsid w:val="00F403A1"/>
    <w:rsid w:val="00F403DB"/>
    <w:rsid w:val="00F4065A"/>
    <w:rsid w:val="00F41684"/>
    <w:rsid w:val="00F4275C"/>
    <w:rsid w:val="00F434B2"/>
    <w:rsid w:val="00F449B0"/>
    <w:rsid w:val="00F45693"/>
    <w:rsid w:val="00F514F0"/>
    <w:rsid w:val="00F52339"/>
    <w:rsid w:val="00F5277A"/>
    <w:rsid w:val="00F532E8"/>
    <w:rsid w:val="00F536DB"/>
    <w:rsid w:val="00F537FF"/>
    <w:rsid w:val="00F54E36"/>
    <w:rsid w:val="00F560FE"/>
    <w:rsid w:val="00F60CD6"/>
    <w:rsid w:val="00F6111C"/>
    <w:rsid w:val="00F614C0"/>
    <w:rsid w:val="00F61647"/>
    <w:rsid w:val="00F633D3"/>
    <w:rsid w:val="00F657CF"/>
    <w:rsid w:val="00F65808"/>
    <w:rsid w:val="00F6587D"/>
    <w:rsid w:val="00F65BDC"/>
    <w:rsid w:val="00F66A00"/>
    <w:rsid w:val="00F66CFB"/>
    <w:rsid w:val="00F70C73"/>
    <w:rsid w:val="00F710F8"/>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0C7"/>
    <w:rsid w:val="00F8540B"/>
    <w:rsid w:val="00F85691"/>
    <w:rsid w:val="00F87032"/>
    <w:rsid w:val="00F87094"/>
    <w:rsid w:val="00F879AA"/>
    <w:rsid w:val="00F87AB3"/>
    <w:rsid w:val="00F913DC"/>
    <w:rsid w:val="00F91DDA"/>
    <w:rsid w:val="00F921C1"/>
    <w:rsid w:val="00F92B41"/>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A7E3D"/>
    <w:rsid w:val="00FB052D"/>
    <w:rsid w:val="00FB22D7"/>
    <w:rsid w:val="00FB2379"/>
    <w:rsid w:val="00FB3CB7"/>
    <w:rsid w:val="00FB4B8A"/>
    <w:rsid w:val="00FB5152"/>
    <w:rsid w:val="00FB5F8F"/>
    <w:rsid w:val="00FB680E"/>
    <w:rsid w:val="00FB6B73"/>
    <w:rsid w:val="00FB7A0B"/>
    <w:rsid w:val="00FC0065"/>
    <w:rsid w:val="00FC062F"/>
    <w:rsid w:val="00FC0754"/>
    <w:rsid w:val="00FC0A77"/>
    <w:rsid w:val="00FC25B4"/>
    <w:rsid w:val="00FC3002"/>
    <w:rsid w:val="00FC380F"/>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5C4"/>
    <w:rsid w:val="00FE6C25"/>
    <w:rsid w:val="00FE77D4"/>
    <w:rsid w:val="00FF024B"/>
    <w:rsid w:val="00FF033A"/>
    <w:rsid w:val="00FF0964"/>
    <w:rsid w:val="00FF0F67"/>
    <w:rsid w:val="00FF16F2"/>
    <w:rsid w:val="00FF1F9B"/>
    <w:rsid w:val="00FF2B42"/>
    <w:rsid w:val="00FF2D5B"/>
    <w:rsid w:val="00FF3B7F"/>
    <w:rsid w:val="00FF4327"/>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iPriority w:val="35"/>
    <w:qFormat/>
    <w:rsid w:val="005831DD"/>
    <w:pPr>
      <w:spacing w:before="120" w:after="120"/>
    </w:pPr>
    <w:rPr>
      <w:b/>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Lista1,中等深浅网格 1 - 着色 21,列出段落1,列表段落,リスト段落,¥¡¡¡¡ì¬º¥¹¥È¶ÎÂä,ÁÐ³ö¶ÎÂä,列表段落1,—ño’i—Ž,¥ê¥¹¥È¶ÎÂä,1st level - Bullet List Paragraph,Lettre d'introduction,Paragrafo elenco,Normal bullet 2,Bullet list,목록 단락,列出段落"/>
    <w:basedOn w:val="Normal"/>
    <w:link w:val="ListParagraphChar"/>
    <w:uiPriority w:val="34"/>
    <w:qFormat/>
    <w:rsid w:val="008E5B10"/>
    <w:pPr>
      <w:numPr>
        <w:ilvl w:val="1"/>
        <w:numId w:val="8"/>
      </w:numPr>
      <w:overflowPunct/>
      <w:autoSpaceDE/>
      <w:autoSpaceDN/>
      <w:adjustRightInd/>
      <w:spacing w:after="160" w:line="259" w:lineRule="auto"/>
      <w:contextualSpacing/>
      <w:textAlignment w:val="auto"/>
    </w:pPr>
    <w:rPr>
      <w:lang w:val="en-US"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 ?? Char,????? Char,???? Char,Lista1 Char,中等深浅网格 1 - 着色 21 Char,列出段落1 Char,列表段落 Char,リスト段落 Char,¥¡¡¡¡ì¬º¥¹¥È¶ÎÂä Char,ÁÐ³ö¶ÎÂä Char,列表段落1 Char,—ño’i—Ž Char,¥ê¥¹¥È¶ÎÂä Char,1st level - Bullet List Paragraph Char"/>
    <w:link w:val="ListParagraph"/>
    <w:uiPriority w:val="34"/>
    <w:qFormat/>
    <w:locked/>
    <w:rsid w:val="008E5B10"/>
    <w:rPr>
      <w:rFonts w:ascii="Times New Roman" w:hAnsi="Times New Roman"/>
      <w:lang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ZDONTMODIFY">
    <w:name w:val="ZDONTMODIFY"/>
    <w:rsid w:val="003F6371"/>
  </w:style>
  <w:style w:type="character" w:customStyle="1" w:styleId="EXChar">
    <w:name w:val="EX Char"/>
    <w:link w:val="EX"/>
    <w:locked/>
    <w:rsid w:val="003F6371"/>
    <w:rPr>
      <w:rFonts w:ascii="Times New Roman" w:hAnsi="Times New Roman"/>
      <w:lang w:val="en-GB"/>
    </w:rPr>
  </w:style>
  <w:style w:type="character" w:customStyle="1" w:styleId="B2Char">
    <w:name w:val="B2 Char"/>
    <w:link w:val="B2"/>
    <w:qFormat/>
    <w:rsid w:val="00B37A8C"/>
    <w:rPr>
      <w:rFonts w:ascii="Times New Roman" w:hAnsi="Times New Roman"/>
      <w:lang w:val="en-GB"/>
    </w:rPr>
  </w:style>
  <w:style w:type="character" w:customStyle="1" w:styleId="fontstyle01">
    <w:name w:val="fontstyle01"/>
    <w:basedOn w:val="DefaultParagraphFont"/>
    <w:rsid w:val="00B37A8C"/>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B37A8C"/>
    <w:rPr>
      <w:rFonts w:ascii="TimesNewRomanPS-ItalicMT" w:hAnsi="TimesNewRomanPS-ItalicMT" w:hint="default"/>
      <w:b w:val="0"/>
      <w:bCs w:val="0"/>
      <w:i/>
      <w:iCs/>
      <w:color w:val="000000"/>
      <w:sz w:val="20"/>
      <w:szCs w:val="20"/>
    </w:rPr>
  </w:style>
  <w:style w:type="paragraph" w:customStyle="1" w:styleId="Proposal">
    <w:name w:val="Proposal"/>
    <w:basedOn w:val="Normal"/>
    <w:link w:val="ProposalChar"/>
    <w:qFormat/>
    <w:rsid w:val="00B37A8C"/>
    <w:pPr>
      <w:numPr>
        <w:numId w:val="2"/>
      </w:numPr>
      <w:tabs>
        <w:tab w:val="left" w:pos="1152"/>
      </w:tabs>
      <w:spacing w:before="240" w:after="240" w:line="259" w:lineRule="auto"/>
      <w:jc w:val="both"/>
    </w:pPr>
    <w:rPr>
      <w:rFonts w:eastAsia="MS Mincho"/>
      <w:i/>
      <w:lang w:val="en-US" w:eastAsia="ja-JP"/>
    </w:rPr>
  </w:style>
  <w:style w:type="character" w:customStyle="1" w:styleId="ProposalChar">
    <w:name w:val="Proposal Char"/>
    <w:basedOn w:val="DefaultParagraphFont"/>
    <w:link w:val="Proposal"/>
    <w:qFormat/>
    <w:rsid w:val="00B37A8C"/>
    <w:rPr>
      <w:rFonts w:ascii="Times New Roman" w:eastAsia="MS Mincho" w:hAnsi="Times New Roman"/>
      <w:i/>
      <w:lang w:eastAsia="ja-JP"/>
    </w:rPr>
  </w:style>
  <w:style w:type="paragraph" w:styleId="ListNumber3">
    <w:name w:val="List Number 3"/>
    <w:basedOn w:val="Normal"/>
    <w:rsid w:val="00B40D5C"/>
    <w:pPr>
      <w:numPr>
        <w:numId w:val="4"/>
      </w:numPr>
    </w:pPr>
    <w:rPr>
      <w:rFonts w:eastAsia="Times New Roman"/>
    </w:rPr>
  </w:style>
  <w:style w:type="paragraph" w:customStyle="1" w:styleId="1">
    <w:name w:val="正文1"/>
    <w:rsid w:val="00237CA6"/>
    <w:rPr>
      <w:rFonts w:ascii="Times" w:hAnsi="Times" w:cs="SimSun"/>
      <w:sz w:val="24"/>
      <w:szCs w:val="24"/>
      <w:lang w:eastAsia="zh-CN"/>
    </w:rPr>
  </w:style>
  <w:style w:type="character" w:styleId="UnresolvedMention">
    <w:name w:val="Unresolved Mention"/>
    <w:basedOn w:val="DefaultParagraphFont"/>
    <w:uiPriority w:val="99"/>
    <w:semiHidden/>
    <w:unhideWhenUsed/>
    <w:rsid w:val="00492C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255783">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0661976">
      <w:bodyDiv w:val="1"/>
      <w:marLeft w:val="0"/>
      <w:marRight w:val="0"/>
      <w:marTop w:val="0"/>
      <w:marBottom w:val="0"/>
      <w:divBdr>
        <w:top w:val="none" w:sz="0" w:space="0" w:color="auto"/>
        <w:left w:val="none" w:sz="0" w:space="0" w:color="auto"/>
        <w:bottom w:val="none" w:sz="0" w:space="0" w:color="auto"/>
        <w:right w:val="none" w:sz="0" w:space="0" w:color="auto"/>
      </w:divBdr>
    </w:div>
    <w:div w:id="9602128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301539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5579199">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587612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113436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906507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172827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517068">
      <w:bodyDiv w:val="1"/>
      <w:marLeft w:val="0"/>
      <w:marRight w:val="0"/>
      <w:marTop w:val="0"/>
      <w:marBottom w:val="0"/>
      <w:divBdr>
        <w:top w:val="none" w:sz="0" w:space="0" w:color="auto"/>
        <w:left w:val="none" w:sz="0" w:space="0" w:color="auto"/>
        <w:bottom w:val="none" w:sz="0" w:space="0" w:color="auto"/>
        <w:right w:val="none" w:sz="0" w:space="0" w:color="auto"/>
      </w:divBdr>
      <w:divsChild>
        <w:div w:id="4283796">
          <w:marLeft w:val="994"/>
          <w:marRight w:val="0"/>
          <w:marTop w:val="0"/>
          <w:marBottom w:val="0"/>
          <w:divBdr>
            <w:top w:val="none" w:sz="0" w:space="0" w:color="auto"/>
            <w:left w:val="none" w:sz="0" w:space="0" w:color="auto"/>
            <w:bottom w:val="none" w:sz="0" w:space="0" w:color="auto"/>
            <w:right w:val="none" w:sz="0" w:space="0" w:color="auto"/>
          </w:divBdr>
        </w:div>
      </w:divsChild>
    </w:div>
    <w:div w:id="520120923">
      <w:bodyDiv w:val="1"/>
      <w:marLeft w:val="0"/>
      <w:marRight w:val="0"/>
      <w:marTop w:val="0"/>
      <w:marBottom w:val="0"/>
      <w:divBdr>
        <w:top w:val="none" w:sz="0" w:space="0" w:color="auto"/>
        <w:left w:val="none" w:sz="0" w:space="0" w:color="auto"/>
        <w:bottom w:val="none" w:sz="0" w:space="0" w:color="auto"/>
        <w:right w:val="none" w:sz="0" w:space="0" w:color="auto"/>
      </w:divBdr>
      <w:divsChild>
        <w:div w:id="975641984">
          <w:marLeft w:val="994"/>
          <w:marRight w:val="0"/>
          <w:marTop w:val="0"/>
          <w:marBottom w:val="180"/>
          <w:divBdr>
            <w:top w:val="none" w:sz="0" w:space="0" w:color="auto"/>
            <w:left w:val="none" w:sz="0" w:space="0" w:color="auto"/>
            <w:bottom w:val="none" w:sz="0" w:space="0" w:color="auto"/>
            <w:right w:val="none" w:sz="0" w:space="0" w:color="auto"/>
          </w:divBdr>
        </w:div>
        <w:div w:id="518854760">
          <w:marLeft w:val="1714"/>
          <w:marRight w:val="0"/>
          <w:marTop w:val="0"/>
          <w:marBottom w:val="180"/>
          <w:divBdr>
            <w:top w:val="none" w:sz="0" w:space="0" w:color="auto"/>
            <w:left w:val="none" w:sz="0" w:space="0" w:color="auto"/>
            <w:bottom w:val="none" w:sz="0" w:space="0" w:color="auto"/>
            <w:right w:val="none" w:sz="0" w:space="0" w:color="auto"/>
          </w:divBdr>
        </w:div>
        <w:div w:id="43677968">
          <w:marLeft w:val="994"/>
          <w:marRight w:val="0"/>
          <w:marTop w:val="0"/>
          <w:marBottom w:val="180"/>
          <w:divBdr>
            <w:top w:val="none" w:sz="0" w:space="0" w:color="auto"/>
            <w:left w:val="none" w:sz="0" w:space="0" w:color="auto"/>
            <w:bottom w:val="none" w:sz="0" w:space="0" w:color="auto"/>
            <w:right w:val="none" w:sz="0" w:space="0" w:color="auto"/>
          </w:divBdr>
        </w:div>
        <w:div w:id="639070897">
          <w:marLeft w:val="994"/>
          <w:marRight w:val="0"/>
          <w:marTop w:val="0"/>
          <w:marBottom w:val="18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934399">
      <w:bodyDiv w:val="1"/>
      <w:marLeft w:val="0"/>
      <w:marRight w:val="0"/>
      <w:marTop w:val="0"/>
      <w:marBottom w:val="0"/>
      <w:divBdr>
        <w:top w:val="none" w:sz="0" w:space="0" w:color="auto"/>
        <w:left w:val="none" w:sz="0" w:space="0" w:color="auto"/>
        <w:bottom w:val="none" w:sz="0" w:space="0" w:color="auto"/>
        <w:right w:val="none" w:sz="0" w:space="0" w:color="auto"/>
      </w:divBdr>
    </w:div>
    <w:div w:id="617446412">
      <w:bodyDiv w:val="1"/>
      <w:marLeft w:val="0"/>
      <w:marRight w:val="0"/>
      <w:marTop w:val="0"/>
      <w:marBottom w:val="0"/>
      <w:divBdr>
        <w:top w:val="none" w:sz="0" w:space="0" w:color="auto"/>
        <w:left w:val="none" w:sz="0" w:space="0" w:color="auto"/>
        <w:bottom w:val="none" w:sz="0" w:space="0" w:color="auto"/>
        <w:right w:val="none" w:sz="0" w:space="0" w:color="auto"/>
      </w:divBdr>
      <w:divsChild>
        <w:div w:id="1756243550">
          <w:marLeft w:val="547"/>
          <w:marRight w:val="0"/>
          <w:marTop w:val="120"/>
          <w:marBottom w:val="120"/>
          <w:divBdr>
            <w:top w:val="none" w:sz="0" w:space="0" w:color="auto"/>
            <w:left w:val="none" w:sz="0" w:space="0" w:color="auto"/>
            <w:bottom w:val="none" w:sz="0" w:space="0" w:color="auto"/>
            <w:right w:val="none" w:sz="0" w:space="0" w:color="auto"/>
          </w:divBdr>
        </w:div>
        <w:div w:id="1420905150">
          <w:marLeft w:val="547"/>
          <w:marRight w:val="0"/>
          <w:marTop w:val="12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27212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0767394">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053816">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692036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327510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4340869">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4066505">
      <w:bodyDiv w:val="1"/>
      <w:marLeft w:val="0"/>
      <w:marRight w:val="0"/>
      <w:marTop w:val="0"/>
      <w:marBottom w:val="0"/>
      <w:divBdr>
        <w:top w:val="none" w:sz="0" w:space="0" w:color="auto"/>
        <w:left w:val="none" w:sz="0" w:space="0" w:color="auto"/>
        <w:bottom w:val="none" w:sz="0" w:space="0" w:color="auto"/>
        <w:right w:val="none" w:sz="0" w:space="0" w:color="auto"/>
      </w:divBdr>
      <w:divsChild>
        <w:div w:id="1017730900">
          <w:marLeft w:val="547"/>
          <w:marRight w:val="0"/>
          <w:marTop w:val="115"/>
          <w:marBottom w:val="0"/>
          <w:divBdr>
            <w:top w:val="none" w:sz="0" w:space="0" w:color="auto"/>
            <w:left w:val="none" w:sz="0" w:space="0" w:color="auto"/>
            <w:bottom w:val="none" w:sz="0" w:space="0" w:color="auto"/>
            <w:right w:val="none" w:sz="0" w:space="0" w:color="auto"/>
          </w:divBdr>
        </w:div>
        <w:div w:id="1670330409">
          <w:marLeft w:val="1166"/>
          <w:marRight w:val="0"/>
          <w:marTop w:val="96"/>
          <w:marBottom w:val="0"/>
          <w:divBdr>
            <w:top w:val="none" w:sz="0" w:space="0" w:color="auto"/>
            <w:left w:val="none" w:sz="0" w:space="0" w:color="auto"/>
            <w:bottom w:val="none" w:sz="0" w:space="0" w:color="auto"/>
            <w:right w:val="none" w:sz="0" w:space="0" w:color="auto"/>
          </w:divBdr>
        </w:div>
        <w:div w:id="305356937">
          <w:marLeft w:val="547"/>
          <w:marRight w:val="0"/>
          <w:marTop w:val="115"/>
          <w:marBottom w:val="0"/>
          <w:divBdr>
            <w:top w:val="none" w:sz="0" w:space="0" w:color="auto"/>
            <w:left w:val="none" w:sz="0" w:space="0" w:color="auto"/>
            <w:bottom w:val="none" w:sz="0" w:space="0" w:color="auto"/>
            <w:right w:val="none" w:sz="0" w:space="0" w:color="auto"/>
          </w:divBdr>
        </w:div>
        <w:div w:id="2040861516">
          <w:marLeft w:val="1166"/>
          <w:marRight w:val="0"/>
          <w:marTop w:val="96"/>
          <w:marBottom w:val="0"/>
          <w:divBdr>
            <w:top w:val="none" w:sz="0" w:space="0" w:color="auto"/>
            <w:left w:val="none" w:sz="0" w:space="0" w:color="auto"/>
            <w:bottom w:val="none" w:sz="0" w:space="0" w:color="auto"/>
            <w:right w:val="none" w:sz="0" w:space="0" w:color="auto"/>
          </w:divBdr>
        </w:div>
        <w:div w:id="616647063">
          <w:marLeft w:val="547"/>
          <w:marRight w:val="0"/>
          <w:marTop w:val="115"/>
          <w:marBottom w:val="0"/>
          <w:divBdr>
            <w:top w:val="none" w:sz="0" w:space="0" w:color="auto"/>
            <w:left w:val="none" w:sz="0" w:space="0" w:color="auto"/>
            <w:bottom w:val="none" w:sz="0" w:space="0" w:color="auto"/>
            <w:right w:val="none" w:sz="0" w:space="0" w:color="auto"/>
          </w:divBdr>
        </w:div>
        <w:div w:id="1782531947">
          <w:marLeft w:val="1166"/>
          <w:marRight w:val="0"/>
          <w:marTop w:val="96"/>
          <w:marBottom w:val="0"/>
          <w:divBdr>
            <w:top w:val="none" w:sz="0" w:space="0" w:color="auto"/>
            <w:left w:val="none" w:sz="0" w:space="0" w:color="auto"/>
            <w:bottom w:val="none" w:sz="0" w:space="0" w:color="auto"/>
            <w:right w:val="none" w:sz="0" w:space="0" w:color="auto"/>
          </w:divBdr>
        </w:div>
        <w:div w:id="199243583">
          <w:marLeft w:val="1166"/>
          <w:marRight w:val="0"/>
          <w:marTop w:val="96"/>
          <w:marBottom w:val="0"/>
          <w:divBdr>
            <w:top w:val="none" w:sz="0" w:space="0" w:color="auto"/>
            <w:left w:val="none" w:sz="0" w:space="0" w:color="auto"/>
            <w:bottom w:val="none" w:sz="0" w:space="0" w:color="auto"/>
            <w:right w:val="none" w:sz="0" w:space="0" w:color="auto"/>
          </w:divBdr>
        </w:div>
        <w:div w:id="2140565953">
          <w:marLeft w:val="547"/>
          <w:marRight w:val="0"/>
          <w:marTop w:val="115"/>
          <w:marBottom w:val="0"/>
          <w:divBdr>
            <w:top w:val="none" w:sz="0" w:space="0" w:color="auto"/>
            <w:left w:val="none" w:sz="0" w:space="0" w:color="auto"/>
            <w:bottom w:val="none" w:sz="0" w:space="0" w:color="auto"/>
            <w:right w:val="none" w:sz="0" w:space="0" w:color="auto"/>
          </w:divBdr>
        </w:div>
        <w:div w:id="2042631117">
          <w:marLeft w:val="1166"/>
          <w:marRight w:val="0"/>
          <w:marTop w:val="96"/>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011195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8959130">
      <w:bodyDiv w:val="1"/>
      <w:marLeft w:val="0"/>
      <w:marRight w:val="0"/>
      <w:marTop w:val="0"/>
      <w:marBottom w:val="0"/>
      <w:divBdr>
        <w:top w:val="none" w:sz="0" w:space="0" w:color="auto"/>
        <w:left w:val="none" w:sz="0" w:space="0" w:color="auto"/>
        <w:bottom w:val="none" w:sz="0" w:space="0" w:color="auto"/>
        <w:right w:val="none" w:sz="0" w:space="0" w:color="auto"/>
      </w:divBdr>
    </w:div>
    <w:div w:id="1159007302">
      <w:bodyDiv w:val="1"/>
      <w:marLeft w:val="0"/>
      <w:marRight w:val="0"/>
      <w:marTop w:val="0"/>
      <w:marBottom w:val="0"/>
      <w:divBdr>
        <w:top w:val="none" w:sz="0" w:space="0" w:color="auto"/>
        <w:left w:val="none" w:sz="0" w:space="0" w:color="auto"/>
        <w:bottom w:val="none" w:sz="0" w:space="0" w:color="auto"/>
        <w:right w:val="none" w:sz="0" w:space="0" w:color="auto"/>
      </w:divBdr>
    </w:div>
    <w:div w:id="116844510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8830853">
      <w:bodyDiv w:val="1"/>
      <w:marLeft w:val="0"/>
      <w:marRight w:val="0"/>
      <w:marTop w:val="0"/>
      <w:marBottom w:val="0"/>
      <w:divBdr>
        <w:top w:val="none" w:sz="0" w:space="0" w:color="auto"/>
        <w:left w:val="none" w:sz="0" w:space="0" w:color="auto"/>
        <w:bottom w:val="none" w:sz="0" w:space="0" w:color="auto"/>
        <w:right w:val="none" w:sz="0" w:space="0" w:color="auto"/>
      </w:divBdr>
    </w:div>
    <w:div w:id="1217164276">
      <w:bodyDiv w:val="1"/>
      <w:marLeft w:val="0"/>
      <w:marRight w:val="0"/>
      <w:marTop w:val="0"/>
      <w:marBottom w:val="0"/>
      <w:divBdr>
        <w:top w:val="none" w:sz="0" w:space="0" w:color="auto"/>
        <w:left w:val="none" w:sz="0" w:space="0" w:color="auto"/>
        <w:bottom w:val="none" w:sz="0" w:space="0" w:color="auto"/>
        <w:right w:val="none" w:sz="0" w:space="0" w:color="auto"/>
      </w:divBdr>
    </w:div>
    <w:div w:id="12184704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4877537">
      <w:bodyDiv w:val="1"/>
      <w:marLeft w:val="0"/>
      <w:marRight w:val="0"/>
      <w:marTop w:val="0"/>
      <w:marBottom w:val="0"/>
      <w:divBdr>
        <w:top w:val="none" w:sz="0" w:space="0" w:color="auto"/>
        <w:left w:val="none" w:sz="0" w:space="0" w:color="auto"/>
        <w:bottom w:val="none" w:sz="0" w:space="0" w:color="auto"/>
        <w:right w:val="none" w:sz="0" w:space="0" w:color="auto"/>
      </w:divBdr>
      <w:divsChild>
        <w:div w:id="1787774321">
          <w:marLeft w:val="547"/>
          <w:marRight w:val="0"/>
          <w:marTop w:val="0"/>
          <w:marBottom w:val="0"/>
          <w:divBdr>
            <w:top w:val="none" w:sz="0" w:space="0" w:color="auto"/>
            <w:left w:val="none" w:sz="0" w:space="0" w:color="auto"/>
            <w:bottom w:val="none" w:sz="0" w:space="0" w:color="auto"/>
            <w:right w:val="none" w:sz="0" w:space="0" w:color="auto"/>
          </w:divBdr>
        </w:div>
        <w:div w:id="53510001">
          <w:marLeft w:val="547"/>
          <w:marRight w:val="0"/>
          <w:marTop w:val="0"/>
          <w:marBottom w:val="0"/>
          <w:divBdr>
            <w:top w:val="none" w:sz="0" w:space="0" w:color="auto"/>
            <w:left w:val="none" w:sz="0" w:space="0" w:color="auto"/>
            <w:bottom w:val="none" w:sz="0" w:space="0" w:color="auto"/>
            <w:right w:val="none" w:sz="0" w:space="0" w:color="auto"/>
          </w:divBdr>
        </w:div>
        <w:div w:id="1214193705">
          <w:marLeft w:val="547"/>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39044122">
      <w:bodyDiv w:val="1"/>
      <w:marLeft w:val="0"/>
      <w:marRight w:val="0"/>
      <w:marTop w:val="0"/>
      <w:marBottom w:val="0"/>
      <w:divBdr>
        <w:top w:val="none" w:sz="0" w:space="0" w:color="auto"/>
        <w:left w:val="none" w:sz="0" w:space="0" w:color="auto"/>
        <w:bottom w:val="none" w:sz="0" w:space="0" w:color="auto"/>
        <w:right w:val="none" w:sz="0" w:space="0" w:color="auto"/>
      </w:divBdr>
    </w:div>
    <w:div w:id="1348558877">
      <w:bodyDiv w:val="1"/>
      <w:marLeft w:val="0"/>
      <w:marRight w:val="0"/>
      <w:marTop w:val="0"/>
      <w:marBottom w:val="0"/>
      <w:divBdr>
        <w:top w:val="none" w:sz="0" w:space="0" w:color="auto"/>
        <w:left w:val="none" w:sz="0" w:space="0" w:color="auto"/>
        <w:bottom w:val="none" w:sz="0" w:space="0" w:color="auto"/>
        <w:right w:val="none" w:sz="0" w:space="0" w:color="auto"/>
      </w:divBdr>
      <w:divsChild>
        <w:div w:id="1116945509">
          <w:marLeft w:val="547"/>
          <w:marRight w:val="0"/>
          <w:marTop w:val="120"/>
          <w:marBottom w:val="120"/>
          <w:divBdr>
            <w:top w:val="none" w:sz="0" w:space="0" w:color="auto"/>
            <w:left w:val="none" w:sz="0" w:space="0" w:color="auto"/>
            <w:bottom w:val="none" w:sz="0" w:space="0" w:color="auto"/>
            <w:right w:val="none" w:sz="0" w:space="0" w:color="auto"/>
          </w:divBdr>
        </w:div>
        <w:div w:id="995652016">
          <w:marLeft w:val="547"/>
          <w:marRight w:val="0"/>
          <w:marTop w:val="120"/>
          <w:marBottom w:val="120"/>
          <w:divBdr>
            <w:top w:val="none" w:sz="0" w:space="0" w:color="auto"/>
            <w:left w:val="none" w:sz="0" w:space="0" w:color="auto"/>
            <w:bottom w:val="none" w:sz="0" w:space="0" w:color="auto"/>
            <w:right w:val="none" w:sz="0" w:space="0" w:color="auto"/>
          </w:divBdr>
        </w:div>
      </w:divsChild>
    </w:div>
    <w:div w:id="1348629294">
      <w:bodyDiv w:val="1"/>
      <w:marLeft w:val="0"/>
      <w:marRight w:val="0"/>
      <w:marTop w:val="0"/>
      <w:marBottom w:val="0"/>
      <w:divBdr>
        <w:top w:val="none" w:sz="0" w:space="0" w:color="auto"/>
        <w:left w:val="none" w:sz="0" w:space="0" w:color="auto"/>
        <w:bottom w:val="none" w:sz="0" w:space="0" w:color="auto"/>
        <w:right w:val="none" w:sz="0" w:space="0" w:color="auto"/>
      </w:divBdr>
    </w:div>
    <w:div w:id="1362246326">
      <w:bodyDiv w:val="1"/>
      <w:marLeft w:val="0"/>
      <w:marRight w:val="0"/>
      <w:marTop w:val="0"/>
      <w:marBottom w:val="0"/>
      <w:divBdr>
        <w:top w:val="none" w:sz="0" w:space="0" w:color="auto"/>
        <w:left w:val="none" w:sz="0" w:space="0" w:color="auto"/>
        <w:bottom w:val="none" w:sz="0" w:space="0" w:color="auto"/>
        <w:right w:val="none" w:sz="0" w:space="0" w:color="auto"/>
      </w:divBdr>
      <w:divsChild>
        <w:div w:id="1949653456">
          <w:marLeft w:val="547"/>
          <w:marRight w:val="0"/>
          <w:marTop w:val="115"/>
          <w:marBottom w:val="0"/>
          <w:divBdr>
            <w:top w:val="none" w:sz="0" w:space="0" w:color="auto"/>
            <w:left w:val="none" w:sz="0" w:space="0" w:color="auto"/>
            <w:bottom w:val="none" w:sz="0" w:space="0" w:color="auto"/>
            <w:right w:val="none" w:sz="0" w:space="0" w:color="auto"/>
          </w:divBdr>
        </w:div>
        <w:div w:id="305429920">
          <w:marLeft w:val="1166"/>
          <w:marRight w:val="0"/>
          <w:marTop w:val="96"/>
          <w:marBottom w:val="0"/>
          <w:divBdr>
            <w:top w:val="none" w:sz="0" w:space="0" w:color="auto"/>
            <w:left w:val="none" w:sz="0" w:space="0" w:color="auto"/>
            <w:bottom w:val="none" w:sz="0" w:space="0" w:color="auto"/>
            <w:right w:val="none" w:sz="0" w:space="0" w:color="auto"/>
          </w:divBdr>
        </w:div>
        <w:div w:id="2021732512">
          <w:marLeft w:val="547"/>
          <w:marRight w:val="0"/>
          <w:marTop w:val="115"/>
          <w:marBottom w:val="0"/>
          <w:divBdr>
            <w:top w:val="none" w:sz="0" w:space="0" w:color="auto"/>
            <w:left w:val="none" w:sz="0" w:space="0" w:color="auto"/>
            <w:bottom w:val="none" w:sz="0" w:space="0" w:color="auto"/>
            <w:right w:val="none" w:sz="0" w:space="0" w:color="auto"/>
          </w:divBdr>
        </w:div>
        <w:div w:id="1760911209">
          <w:marLeft w:val="1166"/>
          <w:marRight w:val="0"/>
          <w:marTop w:val="96"/>
          <w:marBottom w:val="0"/>
          <w:divBdr>
            <w:top w:val="none" w:sz="0" w:space="0" w:color="auto"/>
            <w:left w:val="none" w:sz="0" w:space="0" w:color="auto"/>
            <w:bottom w:val="none" w:sz="0" w:space="0" w:color="auto"/>
            <w:right w:val="none" w:sz="0" w:space="0" w:color="auto"/>
          </w:divBdr>
        </w:div>
        <w:div w:id="697587321">
          <w:marLeft w:val="547"/>
          <w:marRight w:val="0"/>
          <w:marTop w:val="115"/>
          <w:marBottom w:val="0"/>
          <w:divBdr>
            <w:top w:val="none" w:sz="0" w:space="0" w:color="auto"/>
            <w:left w:val="none" w:sz="0" w:space="0" w:color="auto"/>
            <w:bottom w:val="none" w:sz="0" w:space="0" w:color="auto"/>
            <w:right w:val="none" w:sz="0" w:space="0" w:color="auto"/>
          </w:divBdr>
        </w:div>
        <w:div w:id="793868857">
          <w:marLeft w:val="1166"/>
          <w:marRight w:val="0"/>
          <w:marTop w:val="96"/>
          <w:marBottom w:val="0"/>
          <w:divBdr>
            <w:top w:val="none" w:sz="0" w:space="0" w:color="auto"/>
            <w:left w:val="none" w:sz="0" w:space="0" w:color="auto"/>
            <w:bottom w:val="none" w:sz="0" w:space="0" w:color="auto"/>
            <w:right w:val="none" w:sz="0" w:space="0" w:color="auto"/>
          </w:divBdr>
        </w:div>
        <w:div w:id="146291558">
          <w:marLeft w:val="1166"/>
          <w:marRight w:val="0"/>
          <w:marTop w:val="96"/>
          <w:marBottom w:val="0"/>
          <w:divBdr>
            <w:top w:val="none" w:sz="0" w:space="0" w:color="auto"/>
            <w:left w:val="none" w:sz="0" w:space="0" w:color="auto"/>
            <w:bottom w:val="none" w:sz="0" w:space="0" w:color="auto"/>
            <w:right w:val="none" w:sz="0" w:space="0" w:color="auto"/>
          </w:divBdr>
        </w:div>
        <w:div w:id="1376850588">
          <w:marLeft w:val="547"/>
          <w:marRight w:val="0"/>
          <w:marTop w:val="115"/>
          <w:marBottom w:val="0"/>
          <w:divBdr>
            <w:top w:val="none" w:sz="0" w:space="0" w:color="auto"/>
            <w:left w:val="none" w:sz="0" w:space="0" w:color="auto"/>
            <w:bottom w:val="none" w:sz="0" w:space="0" w:color="auto"/>
            <w:right w:val="none" w:sz="0" w:space="0" w:color="auto"/>
          </w:divBdr>
        </w:div>
        <w:div w:id="522862688">
          <w:marLeft w:val="1166"/>
          <w:marRight w:val="0"/>
          <w:marTop w:val="96"/>
          <w:marBottom w:val="0"/>
          <w:divBdr>
            <w:top w:val="none" w:sz="0" w:space="0" w:color="auto"/>
            <w:left w:val="none" w:sz="0" w:space="0" w:color="auto"/>
            <w:bottom w:val="none" w:sz="0" w:space="0" w:color="auto"/>
            <w:right w:val="none" w:sz="0" w:space="0" w:color="auto"/>
          </w:divBdr>
        </w:div>
      </w:divsChild>
    </w:div>
    <w:div w:id="1370108268">
      <w:bodyDiv w:val="1"/>
      <w:marLeft w:val="0"/>
      <w:marRight w:val="0"/>
      <w:marTop w:val="0"/>
      <w:marBottom w:val="0"/>
      <w:divBdr>
        <w:top w:val="none" w:sz="0" w:space="0" w:color="auto"/>
        <w:left w:val="none" w:sz="0" w:space="0" w:color="auto"/>
        <w:bottom w:val="none" w:sz="0" w:space="0" w:color="auto"/>
        <w:right w:val="none" w:sz="0" w:space="0" w:color="auto"/>
      </w:divBdr>
      <w:divsChild>
        <w:div w:id="658732321">
          <w:marLeft w:val="547"/>
          <w:marRight w:val="0"/>
          <w:marTop w:val="120"/>
          <w:marBottom w:val="120"/>
          <w:divBdr>
            <w:top w:val="none" w:sz="0" w:space="0" w:color="auto"/>
            <w:left w:val="none" w:sz="0" w:space="0" w:color="auto"/>
            <w:bottom w:val="none" w:sz="0" w:space="0" w:color="auto"/>
            <w:right w:val="none" w:sz="0" w:space="0" w:color="auto"/>
          </w:divBdr>
        </w:div>
        <w:div w:id="1733773248">
          <w:marLeft w:val="547"/>
          <w:marRight w:val="0"/>
          <w:marTop w:val="120"/>
          <w:marBottom w:val="120"/>
          <w:divBdr>
            <w:top w:val="none" w:sz="0" w:space="0" w:color="auto"/>
            <w:left w:val="none" w:sz="0" w:space="0" w:color="auto"/>
            <w:bottom w:val="none" w:sz="0" w:space="0" w:color="auto"/>
            <w:right w:val="none" w:sz="0" w:space="0" w:color="auto"/>
          </w:divBdr>
        </w:div>
        <w:div w:id="1304967421">
          <w:marLeft w:val="547"/>
          <w:marRight w:val="0"/>
          <w:marTop w:val="120"/>
          <w:marBottom w:val="120"/>
          <w:divBdr>
            <w:top w:val="none" w:sz="0" w:space="0" w:color="auto"/>
            <w:left w:val="none" w:sz="0" w:space="0" w:color="auto"/>
            <w:bottom w:val="none" w:sz="0" w:space="0" w:color="auto"/>
            <w:right w:val="none" w:sz="0" w:space="0" w:color="auto"/>
          </w:divBdr>
        </w:div>
      </w:divsChild>
    </w:div>
    <w:div w:id="1370380022">
      <w:bodyDiv w:val="1"/>
      <w:marLeft w:val="0"/>
      <w:marRight w:val="0"/>
      <w:marTop w:val="0"/>
      <w:marBottom w:val="0"/>
      <w:divBdr>
        <w:top w:val="none" w:sz="0" w:space="0" w:color="auto"/>
        <w:left w:val="none" w:sz="0" w:space="0" w:color="auto"/>
        <w:bottom w:val="none" w:sz="0" w:space="0" w:color="auto"/>
        <w:right w:val="none" w:sz="0" w:space="0" w:color="auto"/>
      </w:divBdr>
      <w:divsChild>
        <w:div w:id="605312707">
          <w:marLeft w:val="547"/>
          <w:marRight w:val="0"/>
          <w:marTop w:val="106"/>
          <w:marBottom w:val="0"/>
          <w:divBdr>
            <w:top w:val="none" w:sz="0" w:space="0" w:color="auto"/>
            <w:left w:val="none" w:sz="0" w:space="0" w:color="auto"/>
            <w:bottom w:val="none" w:sz="0" w:space="0" w:color="auto"/>
            <w:right w:val="none" w:sz="0" w:space="0" w:color="auto"/>
          </w:divBdr>
        </w:div>
        <w:div w:id="1037051890">
          <w:marLeft w:val="1166"/>
          <w:marRight w:val="0"/>
          <w:marTop w:val="96"/>
          <w:marBottom w:val="0"/>
          <w:divBdr>
            <w:top w:val="none" w:sz="0" w:space="0" w:color="auto"/>
            <w:left w:val="none" w:sz="0" w:space="0" w:color="auto"/>
            <w:bottom w:val="none" w:sz="0" w:space="0" w:color="auto"/>
            <w:right w:val="none" w:sz="0" w:space="0" w:color="auto"/>
          </w:divBdr>
        </w:div>
        <w:div w:id="752510799">
          <w:marLeft w:val="1166"/>
          <w:marRight w:val="0"/>
          <w:marTop w:val="96"/>
          <w:marBottom w:val="0"/>
          <w:divBdr>
            <w:top w:val="none" w:sz="0" w:space="0" w:color="auto"/>
            <w:left w:val="none" w:sz="0" w:space="0" w:color="auto"/>
            <w:bottom w:val="none" w:sz="0" w:space="0" w:color="auto"/>
            <w:right w:val="none" w:sz="0" w:space="0" w:color="auto"/>
          </w:divBdr>
        </w:div>
        <w:div w:id="1844860634">
          <w:marLeft w:val="1166"/>
          <w:marRight w:val="0"/>
          <w:marTop w:val="96"/>
          <w:marBottom w:val="0"/>
          <w:divBdr>
            <w:top w:val="none" w:sz="0" w:space="0" w:color="auto"/>
            <w:left w:val="none" w:sz="0" w:space="0" w:color="auto"/>
            <w:bottom w:val="none" w:sz="0" w:space="0" w:color="auto"/>
            <w:right w:val="none" w:sz="0" w:space="0" w:color="auto"/>
          </w:divBdr>
        </w:div>
        <w:div w:id="951324157">
          <w:marLeft w:val="547"/>
          <w:marRight w:val="0"/>
          <w:marTop w:val="106"/>
          <w:marBottom w:val="0"/>
          <w:divBdr>
            <w:top w:val="none" w:sz="0" w:space="0" w:color="auto"/>
            <w:left w:val="none" w:sz="0" w:space="0" w:color="auto"/>
            <w:bottom w:val="none" w:sz="0" w:space="0" w:color="auto"/>
            <w:right w:val="none" w:sz="0" w:space="0" w:color="auto"/>
          </w:divBdr>
        </w:div>
        <w:div w:id="1794791342">
          <w:marLeft w:val="547"/>
          <w:marRight w:val="0"/>
          <w:marTop w:val="106"/>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00562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0717852">
      <w:bodyDiv w:val="1"/>
      <w:marLeft w:val="0"/>
      <w:marRight w:val="0"/>
      <w:marTop w:val="0"/>
      <w:marBottom w:val="0"/>
      <w:divBdr>
        <w:top w:val="none" w:sz="0" w:space="0" w:color="auto"/>
        <w:left w:val="none" w:sz="0" w:space="0" w:color="auto"/>
        <w:bottom w:val="none" w:sz="0" w:space="0" w:color="auto"/>
        <w:right w:val="none" w:sz="0" w:space="0" w:color="auto"/>
      </w:divBdr>
    </w:div>
    <w:div w:id="166115487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911806">
      <w:bodyDiv w:val="1"/>
      <w:marLeft w:val="0"/>
      <w:marRight w:val="0"/>
      <w:marTop w:val="0"/>
      <w:marBottom w:val="0"/>
      <w:divBdr>
        <w:top w:val="none" w:sz="0" w:space="0" w:color="auto"/>
        <w:left w:val="none" w:sz="0" w:space="0" w:color="auto"/>
        <w:bottom w:val="none" w:sz="0" w:space="0" w:color="auto"/>
        <w:right w:val="none" w:sz="0" w:space="0" w:color="auto"/>
      </w:divBdr>
    </w:div>
    <w:div w:id="1677924180">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0951238">
      <w:bodyDiv w:val="1"/>
      <w:marLeft w:val="0"/>
      <w:marRight w:val="0"/>
      <w:marTop w:val="0"/>
      <w:marBottom w:val="0"/>
      <w:divBdr>
        <w:top w:val="none" w:sz="0" w:space="0" w:color="auto"/>
        <w:left w:val="none" w:sz="0" w:space="0" w:color="auto"/>
        <w:bottom w:val="none" w:sz="0" w:space="0" w:color="auto"/>
        <w:right w:val="none" w:sz="0" w:space="0" w:color="auto"/>
      </w:divBdr>
    </w:div>
    <w:div w:id="174653748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0174027">
      <w:bodyDiv w:val="1"/>
      <w:marLeft w:val="0"/>
      <w:marRight w:val="0"/>
      <w:marTop w:val="0"/>
      <w:marBottom w:val="0"/>
      <w:divBdr>
        <w:top w:val="none" w:sz="0" w:space="0" w:color="auto"/>
        <w:left w:val="none" w:sz="0" w:space="0" w:color="auto"/>
        <w:bottom w:val="none" w:sz="0" w:space="0" w:color="auto"/>
        <w:right w:val="none" w:sz="0" w:space="0" w:color="auto"/>
      </w:divBdr>
    </w:div>
    <w:div w:id="18383072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3230817">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649083">
      <w:bodyDiv w:val="1"/>
      <w:marLeft w:val="0"/>
      <w:marRight w:val="0"/>
      <w:marTop w:val="0"/>
      <w:marBottom w:val="0"/>
      <w:divBdr>
        <w:top w:val="none" w:sz="0" w:space="0" w:color="auto"/>
        <w:left w:val="none" w:sz="0" w:space="0" w:color="auto"/>
        <w:bottom w:val="none" w:sz="0" w:space="0" w:color="auto"/>
        <w:right w:val="none" w:sz="0" w:space="0" w:color="auto"/>
      </w:divBdr>
      <w:divsChild>
        <w:div w:id="1469125344">
          <w:marLeft w:val="547"/>
          <w:marRight w:val="0"/>
          <w:marTop w:val="106"/>
          <w:marBottom w:val="0"/>
          <w:divBdr>
            <w:top w:val="none" w:sz="0" w:space="0" w:color="auto"/>
            <w:left w:val="none" w:sz="0" w:space="0" w:color="auto"/>
            <w:bottom w:val="none" w:sz="0" w:space="0" w:color="auto"/>
            <w:right w:val="none" w:sz="0" w:space="0" w:color="auto"/>
          </w:divBdr>
        </w:div>
        <w:div w:id="1775322847">
          <w:marLeft w:val="1166"/>
          <w:marRight w:val="0"/>
          <w:marTop w:val="96"/>
          <w:marBottom w:val="0"/>
          <w:divBdr>
            <w:top w:val="none" w:sz="0" w:space="0" w:color="auto"/>
            <w:left w:val="none" w:sz="0" w:space="0" w:color="auto"/>
            <w:bottom w:val="none" w:sz="0" w:space="0" w:color="auto"/>
            <w:right w:val="none" w:sz="0" w:space="0" w:color="auto"/>
          </w:divBdr>
        </w:div>
        <w:div w:id="1756898625">
          <w:marLeft w:val="1166"/>
          <w:marRight w:val="0"/>
          <w:marTop w:val="96"/>
          <w:marBottom w:val="0"/>
          <w:divBdr>
            <w:top w:val="none" w:sz="0" w:space="0" w:color="auto"/>
            <w:left w:val="none" w:sz="0" w:space="0" w:color="auto"/>
            <w:bottom w:val="none" w:sz="0" w:space="0" w:color="auto"/>
            <w:right w:val="none" w:sz="0" w:space="0" w:color="auto"/>
          </w:divBdr>
        </w:div>
        <w:div w:id="303854967">
          <w:marLeft w:val="1166"/>
          <w:marRight w:val="0"/>
          <w:marTop w:val="96"/>
          <w:marBottom w:val="0"/>
          <w:divBdr>
            <w:top w:val="none" w:sz="0" w:space="0" w:color="auto"/>
            <w:left w:val="none" w:sz="0" w:space="0" w:color="auto"/>
            <w:bottom w:val="none" w:sz="0" w:space="0" w:color="auto"/>
            <w:right w:val="none" w:sz="0" w:space="0" w:color="auto"/>
          </w:divBdr>
        </w:div>
        <w:div w:id="951086752">
          <w:marLeft w:val="547"/>
          <w:marRight w:val="0"/>
          <w:marTop w:val="106"/>
          <w:marBottom w:val="0"/>
          <w:divBdr>
            <w:top w:val="none" w:sz="0" w:space="0" w:color="auto"/>
            <w:left w:val="none" w:sz="0" w:space="0" w:color="auto"/>
            <w:bottom w:val="none" w:sz="0" w:space="0" w:color="auto"/>
            <w:right w:val="none" w:sz="0" w:space="0" w:color="auto"/>
          </w:divBdr>
        </w:div>
        <w:div w:id="441002267">
          <w:marLeft w:val="547"/>
          <w:marRight w:val="0"/>
          <w:marTop w:val="106"/>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46780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55082">
      <w:bodyDiv w:val="1"/>
      <w:marLeft w:val="0"/>
      <w:marRight w:val="0"/>
      <w:marTop w:val="0"/>
      <w:marBottom w:val="0"/>
      <w:divBdr>
        <w:top w:val="none" w:sz="0" w:space="0" w:color="auto"/>
        <w:left w:val="none" w:sz="0" w:space="0" w:color="auto"/>
        <w:bottom w:val="none" w:sz="0" w:space="0" w:color="auto"/>
        <w:right w:val="none" w:sz="0" w:space="0" w:color="auto"/>
      </w:divBdr>
    </w:div>
    <w:div w:id="2031369688">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226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hyperlink" Target="https://www.3gpp.org/ftp/tsg_ran/TSG_RAN/TSGR_85/Docs/RP-19225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5AIRPNAIUNRU-1830940522-6264</_dlc_DocId>
    <_dlc_DocIdUrl xmlns="71c5aaf6-e6ce-465b-b873-5148d2a4c105">
      <Url>https://nokia.sharepoint.com/sites/c5g/5gradio/_layouts/15/DocIdRedir.aspx?ID=5AIRPNAIUNRU-1830940522-6264</Url>
      <Description>5AIRPNAIUNRU-1830940522-6264</Description>
    </_dlc_DocIdUrl>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71c5aaf6-e6ce-465b-b873-5148d2a4c105"/>
    <ds:schemaRef ds:uri="http://schemas.microsoft.com/office/infopath/2007/PartnerControls"/>
    <ds:schemaRef ds:uri="http://purl.org/dc/terms/"/>
    <ds:schemaRef ds:uri="ebabf6ce-2443-438c-9946-ecc878e7654a"/>
    <ds:schemaRef ds:uri="http://schemas.microsoft.com/office/2006/documentManagement/types"/>
    <ds:schemaRef ds:uri="95d2e41d-1f11-4347-bb1c-11d6a32975dd"/>
    <ds:schemaRef ds:uri="http://purl.org/dc/elements/1.1/"/>
    <ds:schemaRef ds:uri="http://schemas.microsoft.com/office/2006/metadata/properties"/>
    <ds:schemaRef ds:uri="http://schemas.openxmlformats.org/package/2006/metadata/core-properti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E583391-B606-42DD-8424-C94E5FC43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13</TotalTime>
  <Pages>7</Pages>
  <Words>2662</Words>
  <Characters>15179</Characters>
  <Application>Microsoft Office Word</Application>
  <DocSecurity>0</DocSecurity>
  <Lines>126</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Nokia &amp; NSN</Company>
  <LinksUpToDate>false</LinksUpToDate>
  <CharactersWithSpaces>17806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CTPClassification=CTP_NT</cp:keywords>
  <dc:description/>
  <cp:lastModifiedBy>Nokia</cp:lastModifiedBy>
  <cp:revision>7</cp:revision>
  <cp:lastPrinted>2016-06-20T06:35:00Z</cp:lastPrinted>
  <dcterms:created xsi:type="dcterms:W3CDTF">2019-10-04T07:57:00Z</dcterms:created>
  <dcterms:modified xsi:type="dcterms:W3CDTF">2019-10-04T13:49:00Z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280333b3-082e-4666-a237-e88bad8ba90e</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1568795251</vt:lpwstr>
  </property>
  <property fmtid="{D5CDD505-2E9C-101B-9397-08002B2CF9AE}" pid="13" name="CTP_TimeStamp">
    <vt:lpwstr>2019-09-22 09:10:02Z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ies>
</file>